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57A" w:rsidRDefault="009F628D" w:rsidP="008B60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5141651"/>
      <w:r w:rsidRPr="008B60AB">
        <w:rPr>
          <w:rFonts w:ascii="Times New Roman" w:hAnsi="Times New Roman" w:cs="Times New Roman"/>
          <w:b/>
          <w:sz w:val="24"/>
          <w:szCs w:val="24"/>
        </w:rPr>
        <w:t xml:space="preserve">Analiza comparativa asupra obligativitatii ca toate procedurile si formalitatile din sfera </w:t>
      </w:r>
      <w:r w:rsidR="00944360">
        <w:rPr>
          <w:rFonts w:ascii="Times New Roman" w:hAnsi="Times New Roman" w:cs="Times New Roman"/>
          <w:b/>
          <w:sz w:val="24"/>
          <w:szCs w:val="24"/>
        </w:rPr>
        <w:t xml:space="preserve">serviciilor </w:t>
      </w:r>
      <w:r w:rsidR="000443C4" w:rsidRPr="008B60AB">
        <w:rPr>
          <w:rFonts w:ascii="Times New Roman" w:hAnsi="Times New Roman" w:cs="Times New Roman"/>
          <w:b/>
          <w:sz w:val="24"/>
          <w:szCs w:val="24"/>
        </w:rPr>
        <w:t>sa poata fi indeplinite</w:t>
      </w:r>
      <w:r w:rsidRPr="008B60AB">
        <w:rPr>
          <w:rFonts w:ascii="Times New Roman" w:hAnsi="Times New Roman" w:cs="Times New Roman"/>
          <w:b/>
          <w:sz w:val="24"/>
          <w:szCs w:val="24"/>
        </w:rPr>
        <w:t xml:space="preserve">, de la distanta, prin </w:t>
      </w:r>
      <w:r w:rsidR="000443C4" w:rsidRPr="008B60AB">
        <w:rPr>
          <w:rFonts w:ascii="Times New Roman" w:hAnsi="Times New Roman" w:cs="Times New Roman"/>
          <w:b/>
          <w:sz w:val="24"/>
          <w:szCs w:val="24"/>
        </w:rPr>
        <w:t xml:space="preserve">intermediul </w:t>
      </w:r>
      <w:r w:rsidRPr="008B60AB">
        <w:rPr>
          <w:rFonts w:ascii="Times New Roman" w:hAnsi="Times New Roman" w:cs="Times New Roman"/>
          <w:b/>
          <w:sz w:val="24"/>
          <w:szCs w:val="24"/>
        </w:rPr>
        <w:t>PCUe</w:t>
      </w:r>
    </w:p>
    <w:p w:rsidR="00A179B0" w:rsidRDefault="00A179B0" w:rsidP="008B60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9B0" w:rsidRDefault="00A179B0" w:rsidP="008B60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D73" w:rsidRDefault="00227D73" w:rsidP="00227D73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b/>
          <w:lang w:eastAsia="zh-CN"/>
        </w:rPr>
      </w:pPr>
      <w:r w:rsidRPr="00227D73">
        <w:rPr>
          <w:rFonts w:ascii="Trebuchet MS" w:eastAsia="Times New Roman" w:hAnsi="Trebuchet MS" w:cs="Times New Roman"/>
          <w:b/>
          <w:lang w:eastAsia="zh-CN"/>
        </w:rPr>
        <w:t>Reglementări internaționale</w:t>
      </w:r>
      <w:r>
        <w:rPr>
          <w:rFonts w:ascii="Trebuchet MS" w:eastAsia="Times New Roman" w:hAnsi="Trebuchet MS" w:cs="Times New Roman"/>
          <w:b/>
          <w:lang w:eastAsia="zh-CN"/>
        </w:rPr>
        <w:t xml:space="preserve"> </w:t>
      </w:r>
    </w:p>
    <w:p w:rsidR="00227D73" w:rsidRPr="00227D73" w:rsidRDefault="00227D73" w:rsidP="00227D73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b/>
          <w:lang w:eastAsia="zh-CN"/>
        </w:rPr>
      </w:pPr>
    </w:p>
    <w:p w:rsidR="00227D73" w:rsidRPr="00227D73" w:rsidRDefault="00227D73" w:rsidP="00227D7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zh-CN"/>
        </w:rPr>
      </w:pP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Directiva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2006/123/CE a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Parlamentului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European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și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al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Consiliului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din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12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decembrie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2006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privind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serviciile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în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cadrul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pieței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interne</w:t>
      </w:r>
      <w:r>
        <w:rPr>
          <w:rFonts w:ascii="Trebuchet MS" w:eastAsia="Times New Roman" w:hAnsi="Trebuchet MS" w:cs="Times New Roman"/>
          <w:color w:val="000000"/>
          <w:lang w:val="fr-FR"/>
        </w:rPr>
        <w:t xml:space="preserve">- </w:t>
      </w:r>
      <w:r w:rsidRPr="002418E1">
        <w:rPr>
          <w:rFonts w:ascii="Trebuchet MS" w:eastAsia="Times New Roman" w:hAnsi="Trebuchet MS" w:cs="Times New Roman"/>
          <w:color w:val="00B0F0"/>
          <w:lang w:eastAsia="zh-CN"/>
        </w:rPr>
        <w:t>pentru sfera servicii</w:t>
      </w:r>
    </w:p>
    <w:p w:rsidR="00227D73" w:rsidRPr="00227D73" w:rsidRDefault="00227D73" w:rsidP="00227D7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val="fr-FR"/>
        </w:rPr>
      </w:pP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Directiva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2013/55/UE a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Parlamentului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European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şi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a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Consiliului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privind</w:t>
      </w:r>
      <w:proofErr w:type="spellEnd"/>
      <w:r w:rsidRPr="00227D73"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 w:rsidRPr="00227D73">
        <w:rPr>
          <w:rFonts w:ascii="Trebuchet MS" w:eastAsia="Times New Roman" w:hAnsi="Trebuchet MS" w:cs="Times New Roman"/>
          <w:color w:val="000000"/>
          <w:lang w:val="fr-FR"/>
        </w:rPr>
        <w:t>recunoaşt</w:t>
      </w:r>
      <w:r>
        <w:rPr>
          <w:rFonts w:ascii="Trebuchet MS" w:eastAsia="Times New Roman" w:hAnsi="Trebuchet MS" w:cs="Times New Roman"/>
          <w:color w:val="000000"/>
          <w:lang w:val="fr-FR"/>
        </w:rPr>
        <w:t>erea</w:t>
      </w:r>
      <w:proofErr w:type="spellEnd"/>
      <w:r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lang w:val="fr-FR"/>
        </w:rPr>
        <w:t>calificărilor</w:t>
      </w:r>
      <w:proofErr w:type="spellEnd"/>
      <w:r>
        <w:rPr>
          <w:rFonts w:ascii="Trebuchet MS" w:eastAsia="Times New Roman" w:hAnsi="Trebuchet MS" w:cs="Times New Roman"/>
          <w:color w:val="000000"/>
          <w:lang w:val="fr-F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lang w:val="fr-FR"/>
        </w:rPr>
        <w:t>profesional</w:t>
      </w:r>
      <w:proofErr w:type="spellEnd"/>
      <w:r>
        <w:rPr>
          <w:rFonts w:ascii="Trebuchet MS" w:eastAsia="Times New Roman" w:hAnsi="Trebuchet MS" w:cs="Times New Roman"/>
          <w:color w:val="000000"/>
          <w:lang w:val="fr-FR"/>
        </w:rPr>
        <w:t xml:space="preserve">- </w:t>
      </w:r>
      <w:proofErr w:type="spellStart"/>
      <w:r w:rsidRPr="002418E1">
        <w:rPr>
          <w:rFonts w:ascii="Trebuchet MS" w:eastAsia="Times New Roman" w:hAnsi="Trebuchet MS" w:cs="Times New Roman"/>
          <w:color w:val="00B0F0"/>
          <w:lang w:val="fr-FR"/>
        </w:rPr>
        <w:t>pentru</w:t>
      </w:r>
      <w:proofErr w:type="spellEnd"/>
      <w:r w:rsidRPr="002418E1">
        <w:rPr>
          <w:rFonts w:ascii="Trebuchet MS" w:eastAsia="Times New Roman" w:hAnsi="Trebuchet MS" w:cs="Times New Roman"/>
          <w:color w:val="00B0F0"/>
          <w:lang w:val="fr-FR"/>
        </w:rPr>
        <w:t xml:space="preserve"> </w:t>
      </w:r>
      <w:proofErr w:type="spellStart"/>
      <w:r w:rsidRPr="002418E1">
        <w:rPr>
          <w:rFonts w:ascii="Trebuchet MS" w:eastAsia="Times New Roman" w:hAnsi="Trebuchet MS" w:cs="Times New Roman"/>
          <w:color w:val="00B0F0"/>
          <w:lang w:val="fr-FR"/>
        </w:rPr>
        <w:t>profesii</w:t>
      </w:r>
      <w:proofErr w:type="spellEnd"/>
      <w:r w:rsidRPr="002418E1">
        <w:rPr>
          <w:rFonts w:ascii="Trebuchet MS" w:eastAsia="Times New Roman" w:hAnsi="Trebuchet MS" w:cs="Times New Roman"/>
          <w:color w:val="00B0F0"/>
          <w:lang w:val="fr-FR"/>
        </w:rPr>
        <w:t xml:space="preserve"> </w:t>
      </w:r>
      <w:proofErr w:type="spellStart"/>
      <w:r w:rsidRPr="002418E1">
        <w:rPr>
          <w:rFonts w:ascii="Trebuchet MS" w:eastAsia="Times New Roman" w:hAnsi="Trebuchet MS" w:cs="Times New Roman"/>
          <w:color w:val="00B0F0"/>
          <w:lang w:val="fr-FR"/>
        </w:rPr>
        <w:t>reglementate</w:t>
      </w:r>
      <w:proofErr w:type="spellEnd"/>
      <w:r w:rsidRPr="002418E1">
        <w:rPr>
          <w:rFonts w:ascii="Trebuchet MS" w:eastAsia="Times New Roman" w:hAnsi="Trebuchet MS" w:cs="Times New Roman"/>
          <w:color w:val="00B0F0"/>
          <w:lang w:val="fr-FR"/>
        </w:rPr>
        <w:t xml:space="preserve"> </w:t>
      </w:r>
    </w:p>
    <w:p w:rsidR="00227D73" w:rsidRPr="00227D73" w:rsidRDefault="00227D73" w:rsidP="00227D73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b/>
          <w:lang w:val="fr-FR" w:eastAsia="zh-CN"/>
        </w:rPr>
      </w:pPr>
    </w:p>
    <w:p w:rsidR="00227D73" w:rsidRPr="00227D73" w:rsidRDefault="00227D73" w:rsidP="00227D73">
      <w:pPr>
        <w:suppressAutoHyphens/>
        <w:spacing w:after="0" w:line="240" w:lineRule="auto"/>
        <w:jc w:val="both"/>
        <w:rPr>
          <w:rFonts w:ascii="Trebuchet MS" w:eastAsia="Times New Roman" w:hAnsi="Trebuchet MS" w:cs="Times New Roman"/>
          <w:b/>
          <w:lang w:eastAsia="zh-CN"/>
        </w:rPr>
      </w:pPr>
      <w:r w:rsidRPr="00227D73">
        <w:rPr>
          <w:rFonts w:ascii="Trebuchet MS" w:eastAsia="Times New Roman" w:hAnsi="Trebuchet MS" w:cs="Times New Roman"/>
          <w:b/>
          <w:lang w:eastAsia="zh-CN"/>
        </w:rPr>
        <w:t xml:space="preserve">Legislaţie </w:t>
      </w:r>
      <w:r>
        <w:rPr>
          <w:rFonts w:ascii="Trebuchet MS" w:eastAsia="Times New Roman" w:hAnsi="Trebuchet MS" w:cs="Times New Roman"/>
          <w:b/>
          <w:lang w:eastAsia="zh-CN"/>
        </w:rPr>
        <w:t>naționala prin care se prevede obligativitatea inrolarii autoritatilor competente in PCUe</w:t>
      </w:r>
    </w:p>
    <w:p w:rsidR="00227D73" w:rsidRPr="00227D73" w:rsidRDefault="00227D73" w:rsidP="00227D7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rebuchet MS" w:eastAsia="Times New Roman" w:hAnsi="Trebuchet MS" w:cs="Times New Roman"/>
          <w:bCs/>
          <w:iCs/>
          <w:color w:val="FF0000"/>
          <w:lang w:eastAsia="zh-CN"/>
        </w:rPr>
      </w:pPr>
      <w:bookmarkStart w:id="1" w:name="REF135"/>
      <w:bookmarkEnd w:id="1"/>
    </w:p>
    <w:p w:rsidR="00227D73" w:rsidRDefault="00227D73" w:rsidP="00227D73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bCs/>
          <w:iCs/>
          <w:lang w:eastAsia="zh-CN"/>
        </w:rPr>
      </w:pPr>
      <w:r w:rsidRPr="00227D73">
        <w:rPr>
          <w:rFonts w:ascii="Trebuchet MS" w:eastAsia="Times New Roman" w:hAnsi="Trebuchet MS" w:cs="Times New Roman"/>
          <w:bCs/>
          <w:iCs/>
          <w:lang w:eastAsia="zh-CN"/>
        </w:rPr>
        <w:t>Ordonanța de Urgența nr.49/2009 privind libertatea de stabilire a prestatorilor de servicii și libertatea de a furniza servicii în România</w:t>
      </w:r>
    </w:p>
    <w:p w:rsidR="005971C1" w:rsidRPr="00227D73" w:rsidRDefault="002418E1" w:rsidP="005971C1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rebuchet MS" w:eastAsia="Times New Roman" w:hAnsi="Trebuchet MS" w:cs="Times New Roman"/>
          <w:bCs/>
          <w:iCs/>
          <w:color w:val="00B0F0"/>
          <w:lang w:eastAsia="zh-CN"/>
        </w:rPr>
      </w:pPr>
      <w:r w:rsidRPr="002418E1">
        <w:rPr>
          <w:rFonts w:ascii="Trebuchet MS" w:eastAsia="Times New Roman" w:hAnsi="Trebuchet MS" w:cs="Times New Roman"/>
          <w:bCs/>
          <w:iCs/>
          <w:color w:val="00B0F0"/>
          <w:lang w:eastAsia="zh-CN"/>
        </w:rPr>
        <w:t xml:space="preserve">Obligativitatea inrolarii  autoritatilor competente in PCUe este prevazuta la art.28 lit.(d) </w:t>
      </w:r>
    </w:p>
    <w:p w:rsidR="00227D73" w:rsidRDefault="00227D73" w:rsidP="00227D73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bCs/>
          <w:iCs/>
          <w:lang w:eastAsia="zh-CN"/>
        </w:rPr>
      </w:pPr>
      <w:r w:rsidRPr="00227D73">
        <w:rPr>
          <w:rFonts w:ascii="Trebuchet MS" w:eastAsia="Times New Roman" w:hAnsi="Trebuchet MS" w:cs="Times New Roman"/>
          <w:bCs/>
          <w:iCs/>
          <w:lang w:eastAsia="zh-CN"/>
        </w:rPr>
        <w:t>Legea nr.68/2010 pentru aprobarea Ordonanței de urgență nr.49/2009 privind libertatea de stabilire a prestatorilor de servicii și libertatea de a furniza servicii în România</w:t>
      </w:r>
    </w:p>
    <w:p w:rsidR="002418E1" w:rsidRPr="002418E1" w:rsidRDefault="002418E1" w:rsidP="002418E1">
      <w:pPr>
        <w:jc w:val="center"/>
        <w:rPr>
          <w:rFonts w:ascii="Trebuchet MS" w:hAnsi="Trebuchet MS" w:cs="Times New Roman"/>
          <w:b/>
        </w:rPr>
      </w:pPr>
      <w:r w:rsidRPr="002418E1">
        <w:rPr>
          <w:rFonts w:ascii="Trebuchet MS" w:eastAsia="Times New Roman" w:hAnsi="Trebuchet MS" w:cs="Times New Roman"/>
          <w:bCs/>
          <w:iCs/>
          <w:color w:val="00B0F0"/>
          <w:lang w:eastAsia="zh-CN"/>
        </w:rPr>
        <w:t xml:space="preserve">Inrolarea autoritatilor competente si cuantumul amenzilor aplicate, la punctul 18 lit.(d) </w:t>
      </w:r>
      <w:r w:rsidRPr="002418E1">
        <w:rPr>
          <w:rFonts w:ascii="Trebuchet MS" w:hAnsi="Trebuchet MS" w:cs="Times New Roman"/>
          <w:b/>
          <w:i/>
          <w:color w:val="00B0F0"/>
        </w:rPr>
        <w:t>„</w:t>
      </w:r>
      <w:r w:rsidRPr="002418E1">
        <w:rPr>
          <w:rFonts w:ascii="Trebuchet MS" w:hAnsi="Trebuchet MS"/>
          <w:i/>
          <w:iCs/>
          <w:color w:val="00B0F0"/>
          <w:shd w:val="clear" w:color="auto" w:fill="FFFFFF"/>
        </w:rPr>
        <w:t>în cazul nerespectării de către autoritățile competente a obligației prevăzute la art. 6 alin. (3), cu amendă de la 5.000 lei la 10.000 lei."</w:t>
      </w:r>
    </w:p>
    <w:p w:rsidR="002418E1" w:rsidRPr="00227D73" w:rsidRDefault="002418E1" w:rsidP="002418E1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rebuchet MS" w:eastAsia="Times New Roman" w:hAnsi="Trebuchet MS" w:cs="Times New Roman"/>
          <w:bCs/>
          <w:iCs/>
          <w:color w:val="00B0F0"/>
          <w:lang w:eastAsia="zh-CN"/>
        </w:rPr>
      </w:pPr>
    </w:p>
    <w:p w:rsidR="00227D73" w:rsidRPr="00227D73" w:rsidRDefault="00227D73" w:rsidP="00227D73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bCs/>
          <w:iCs/>
          <w:lang w:eastAsia="zh-CN"/>
        </w:rPr>
      </w:pPr>
      <w:r w:rsidRPr="00227D73">
        <w:rPr>
          <w:rFonts w:ascii="Trebuchet MS" w:eastAsia="Times New Roman" w:hAnsi="Trebuchet MS" w:cs="Times New Roman"/>
          <w:bCs/>
          <w:iCs/>
          <w:lang w:eastAsia="zh-CN"/>
        </w:rPr>
        <w:t>Hotărârea nr.922/2010 privind organizarea și funcționarea Punctului de Contact Unic electronic</w:t>
      </w:r>
    </w:p>
    <w:p w:rsidR="00227D73" w:rsidRPr="00227D73" w:rsidRDefault="00227D73" w:rsidP="00227D73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bCs/>
          <w:iCs/>
          <w:lang w:eastAsia="zh-CN"/>
        </w:rPr>
      </w:pPr>
      <w:r w:rsidRPr="00227D73">
        <w:rPr>
          <w:rFonts w:ascii="Trebuchet MS" w:eastAsia="Times New Roman" w:hAnsi="Trebuchet MS" w:cs="Times New Roman"/>
          <w:bCs/>
          <w:iCs/>
          <w:lang w:eastAsia="zh-CN"/>
        </w:rPr>
        <w:t>Ordonanța de urgență nr.41/2016 privind stabilirea unor măsuri de simplificare la nivelul administrației publice centrale și pentru modificarea și completarea unor acte normative.</w:t>
      </w:r>
      <w:bookmarkStart w:id="2" w:name="_GoBack"/>
      <w:bookmarkEnd w:id="2"/>
    </w:p>
    <w:p w:rsidR="00A179B0" w:rsidRDefault="00A179B0" w:rsidP="008B60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8E1" w:rsidRPr="000E3D29" w:rsidRDefault="002418E1" w:rsidP="000E3D29">
      <w:pPr>
        <w:jc w:val="both"/>
        <w:rPr>
          <w:rFonts w:ascii="Trebuchet MS" w:hAnsi="Trebuchet MS" w:cs="Times New Roman"/>
          <w:color w:val="00B0F0"/>
        </w:rPr>
      </w:pPr>
      <w:r w:rsidRPr="000E3D29">
        <w:rPr>
          <w:rFonts w:ascii="Trebuchet MS" w:hAnsi="Trebuchet MS" w:cs="Times New Roman"/>
        </w:rPr>
        <w:t xml:space="preserve">Ca urmare a nerespectarii prevederilor legale privind inrolarea autoritatilor competente in PCUe si </w:t>
      </w:r>
      <w:r w:rsidR="000E3D29" w:rsidRPr="000E3D29">
        <w:rPr>
          <w:rFonts w:ascii="Trebuchet MS" w:hAnsi="Trebuchet MS" w:cs="Times New Roman"/>
        </w:rPr>
        <w:t xml:space="preserve">a configurarii </w:t>
      </w:r>
      <w:r w:rsidRPr="000E3D29">
        <w:rPr>
          <w:rFonts w:ascii="Trebuchet MS" w:hAnsi="Trebuchet MS" w:cs="Times New Roman"/>
        </w:rPr>
        <w:t xml:space="preserve"> procedurilor administrative aso</w:t>
      </w:r>
      <w:r w:rsidR="000E3D29" w:rsidRPr="000E3D29">
        <w:rPr>
          <w:rFonts w:ascii="Trebuchet MS" w:hAnsi="Trebuchet MS" w:cs="Times New Roman"/>
        </w:rPr>
        <w:t xml:space="preserve">ciate acestor institutii, </w:t>
      </w:r>
      <w:r w:rsidR="000E3D29" w:rsidRPr="000E3D29">
        <w:rPr>
          <w:rFonts w:ascii="Trebuchet MS" w:hAnsi="Trebuchet MS" w:cs="Times New Roman"/>
          <w:color w:val="00B0F0"/>
        </w:rPr>
        <w:t>Comisia europeana a lansat procedura de infringment impotriva Romaniei, obligand i</w:t>
      </w:r>
      <w:r w:rsidR="000E3D29">
        <w:rPr>
          <w:rFonts w:ascii="Trebuchet MS" w:hAnsi="Trebuchet MS" w:cs="Times New Roman"/>
          <w:color w:val="00B0F0"/>
        </w:rPr>
        <w:t>nstitutiile pu</w:t>
      </w:r>
      <w:r w:rsidR="000E3D29" w:rsidRPr="000E3D29">
        <w:rPr>
          <w:rFonts w:ascii="Trebuchet MS" w:hAnsi="Trebuchet MS" w:cs="Times New Roman"/>
          <w:color w:val="00B0F0"/>
        </w:rPr>
        <w:t>blice s</w:t>
      </w:r>
      <w:r w:rsidR="000E3D29">
        <w:rPr>
          <w:rFonts w:ascii="Trebuchet MS" w:hAnsi="Trebuchet MS" w:cs="Times New Roman"/>
          <w:color w:val="00B0F0"/>
        </w:rPr>
        <w:t>a respecte legislatia europeana, prin Scrisoarea de punere in intarziere-</w:t>
      </w:r>
      <w:r w:rsidR="000E3D29" w:rsidRPr="000E3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D29" w:rsidRPr="000E3D29">
        <w:rPr>
          <w:rFonts w:ascii="Times New Roman" w:hAnsi="Times New Roman" w:cs="Times New Roman"/>
          <w:b/>
          <w:color w:val="00B0F0"/>
          <w:sz w:val="24"/>
          <w:szCs w:val="24"/>
        </w:rPr>
        <w:t>Incalcarea nr.2018/2393</w:t>
      </w:r>
    </w:p>
    <w:p w:rsidR="00334E03" w:rsidRDefault="000E3D29" w:rsidP="000E3D29">
      <w:pPr>
        <w:jc w:val="both"/>
        <w:rPr>
          <w:rFonts w:ascii="Trebuchet MS" w:hAnsi="Trebuchet MS" w:cs="Times New Roman"/>
        </w:rPr>
      </w:pPr>
      <w:bookmarkStart w:id="3" w:name="_Hlk95141765"/>
      <w:bookmarkEnd w:id="0"/>
      <w:r w:rsidRPr="000E3D29">
        <w:rPr>
          <w:rFonts w:ascii="Trebuchet MS" w:hAnsi="Trebuchet MS" w:cs="Times New Roman"/>
        </w:rPr>
        <w:t>In prezent, suntem in faza de monitorizare a organismului european.</w:t>
      </w:r>
    </w:p>
    <w:p w:rsidR="002418E1" w:rsidRPr="000E3D29" w:rsidRDefault="000E3D29" w:rsidP="000E3D29">
      <w:pPr>
        <w:rPr>
          <w:rFonts w:ascii="Times New Roman" w:hAnsi="Times New Roman" w:cs="Times New Roman"/>
          <w:b/>
        </w:rPr>
      </w:pPr>
      <w:r w:rsidRPr="000E3D29">
        <w:rPr>
          <w:rFonts w:ascii="Times New Roman" w:hAnsi="Times New Roman" w:cs="Times New Roman"/>
          <w:b/>
        </w:rPr>
        <w:t>Va rog sa regasiti, mai jos, o analiza asupra prevederilor legale inscrise in Directiva Servicii si neindeplinirea conditionalitatilor impuse de Comisia Europeana prin „Scrisoarea de punere in intarziere”.</w:t>
      </w:r>
    </w:p>
    <w:bookmarkEnd w:id="3"/>
    <w:p w:rsidR="002418E1" w:rsidRDefault="002418E1" w:rsidP="003F5F16">
      <w:pPr>
        <w:rPr>
          <w:rFonts w:ascii="Times New Roman" w:hAnsi="Times New Roman" w:cs="Times New Roman"/>
          <w:b/>
          <w:sz w:val="24"/>
          <w:szCs w:val="24"/>
        </w:rPr>
      </w:pPr>
    </w:p>
    <w:p w:rsidR="002418E1" w:rsidRPr="008B60AB" w:rsidRDefault="002418E1" w:rsidP="008B60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7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405"/>
        <w:gridCol w:w="3824"/>
        <w:gridCol w:w="2127"/>
      </w:tblGrid>
      <w:tr w:rsidR="00A179B0" w:rsidRPr="008B60AB" w:rsidTr="00A179B0">
        <w:trPr>
          <w:trHeight w:val="836"/>
        </w:trPr>
        <w:tc>
          <w:tcPr>
            <w:tcW w:w="1021" w:type="dxa"/>
          </w:tcPr>
          <w:p w:rsidR="00A179B0" w:rsidRPr="008B60AB" w:rsidRDefault="00A179B0" w:rsidP="008A6647">
            <w:pPr>
              <w:ind w:left="8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95141715"/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3405" w:type="dxa"/>
          </w:tcPr>
          <w:p w:rsidR="00A179B0" w:rsidRPr="008B60AB" w:rsidRDefault="000E3D29" w:rsidP="00F71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Directiva 2006/123/CE a P</w:t>
            </w:r>
            <w:r w:rsidR="00A179B0"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E și  CE privind serviciile în cadrul pieței interne</w:t>
            </w:r>
          </w:p>
        </w:tc>
        <w:tc>
          <w:tcPr>
            <w:tcW w:w="3824" w:type="dxa"/>
          </w:tcPr>
          <w:p w:rsidR="00A179B0" w:rsidRPr="008B60AB" w:rsidRDefault="00A179B0" w:rsidP="000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Scrisoarea de punere in intarziere-Incalcarea  nr.2018/2393 </w:t>
            </w:r>
          </w:p>
        </w:tc>
        <w:tc>
          <w:tcPr>
            <w:tcW w:w="2127" w:type="dxa"/>
          </w:tcPr>
          <w:p w:rsidR="00A179B0" w:rsidRPr="008B60AB" w:rsidRDefault="00A17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Observatii </w:t>
            </w:r>
          </w:p>
        </w:tc>
      </w:tr>
      <w:tr w:rsidR="00A179B0" w:rsidRPr="008B60AB" w:rsidTr="003F5F16">
        <w:trPr>
          <w:trHeight w:val="9173"/>
        </w:trPr>
        <w:tc>
          <w:tcPr>
            <w:tcW w:w="1021" w:type="dxa"/>
          </w:tcPr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179B0" w:rsidRPr="008B60AB" w:rsidRDefault="00A179B0" w:rsidP="000443C4">
            <w:pPr>
              <w:shd w:val="clear" w:color="auto" w:fill="0020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Obligatia statelor membre de a pune la dispozitia prestatorilor de servicii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proceduri 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si formalitati</w:t>
            </w:r>
          </w:p>
          <w:p w:rsidR="00A179B0" w:rsidRPr="008B60AB" w:rsidRDefault="00A179B0" w:rsidP="00C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Art.6</w:t>
            </w:r>
          </w:p>
          <w:p w:rsidR="00A179B0" w:rsidRPr="008B60AB" w:rsidRDefault="00A179B0" w:rsidP="00C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Statele membre se asigură că este posibil ca prestatorii să îndeplinească, prin intermediul ghișeelor unice/PCUe, următoarele proceduri și formalități: </w:t>
            </w:r>
          </w:p>
          <w:p w:rsidR="00A179B0" w:rsidRPr="008B60AB" w:rsidRDefault="00A179B0" w:rsidP="00C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) toate procedurile și formalitățile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necesare pentru accesul la activitățile de servicii ale acestuia, în special toate declarațiile, notificările sau cererile necesare pentru obținerea autorizării de la autoritățile competente, inclusiv cererile de înscriere într-un registru, într-un rol sau într-o bază de date sau într-un ordin sau într-o asociație profesională;</w:t>
            </w:r>
          </w:p>
          <w:p w:rsidR="00A179B0" w:rsidRPr="008B60AB" w:rsidRDefault="00A179B0" w:rsidP="006D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(b) orice cereri de autorizare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necesare pentru exercitarea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acti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vităților de servicii.</w:t>
            </w:r>
          </w:p>
        </w:tc>
        <w:tc>
          <w:tcPr>
            <w:tcW w:w="3824" w:type="dxa"/>
          </w:tcPr>
          <w:p w:rsidR="00A179B0" w:rsidRPr="008B60AB" w:rsidRDefault="00A179B0" w:rsidP="000443C4">
            <w:pPr>
              <w:shd w:val="clear" w:color="auto" w:fill="0020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Neindeplinirea prevederilor actelor normative europene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Pagina 4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In Manualul sau de punere in aplicare a Directivei privind Serviciile, Comisia si-a exprimat deja opinia potrivit careia”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ghiseele unice</w:t>
            </w:r>
            <w:r w:rsidR="000E3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(PCUe)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sunt destinate sa fie interlocutori institutionali unici din perspectiva prestatorului de servicii , 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fel incat acesta sa nu fie nevoit sa contacteze mai multe autoritati sau org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anisme competente pentru a cule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ge toate informatiile relevante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referitoare la activitatile de servicii”.</w:t>
            </w:r>
          </w:p>
        </w:tc>
        <w:tc>
          <w:tcPr>
            <w:tcW w:w="2127" w:type="dxa"/>
          </w:tcPr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Informatiile au fost impartite pe categorii, in functie de structura existenta in 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Scrisoarea de punere in intarziere-Incalcarea nr.2018/2393</w:t>
            </w:r>
          </w:p>
        </w:tc>
      </w:tr>
      <w:tr w:rsidR="00A179B0" w:rsidRPr="008B60AB" w:rsidTr="00A179B0">
        <w:trPr>
          <w:trHeight w:val="442"/>
        </w:trPr>
        <w:tc>
          <w:tcPr>
            <w:tcW w:w="1021" w:type="dxa"/>
          </w:tcPr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405" w:type="dxa"/>
          </w:tcPr>
          <w:p w:rsidR="00A179B0" w:rsidRPr="008B60AB" w:rsidRDefault="00A179B0" w:rsidP="000443C4">
            <w:pPr>
              <w:shd w:val="clear" w:color="auto" w:fill="0020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Disponibilitatea informatiilor prin intermediul PCUe </w:t>
            </w:r>
          </w:p>
          <w:p w:rsidR="00A179B0" w:rsidRPr="008B60AB" w:rsidRDefault="00A179B0" w:rsidP="00E06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Art.7 (alin.1) si (3)</w:t>
            </w:r>
          </w:p>
          <w:p w:rsidR="00A179B0" w:rsidRPr="008B60AB" w:rsidRDefault="00A179B0" w:rsidP="0003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(1) Statele membre se asigură că următoarele informații sunt ușor accesibile prestatorilor și beneficiarilor prin intermediul ghișeelor unice</w:t>
            </w:r>
          </w:p>
          <w:p w:rsidR="00A179B0" w:rsidRPr="008B60AB" w:rsidRDefault="00A179B0" w:rsidP="0003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(a) cerințele aplicabile 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prestatorilor stabiliți pe teritoriul lor </w:t>
            </w:r>
          </w:p>
          <w:p w:rsidR="00A179B0" w:rsidRPr="008B60AB" w:rsidRDefault="00A179B0" w:rsidP="0003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(b) coordonatele autorităților competente; </w:t>
            </w:r>
          </w:p>
          <w:p w:rsidR="00A179B0" w:rsidRPr="008B60AB" w:rsidRDefault="00A179B0" w:rsidP="0003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(c) mijloacele și condițiile de acces la registrele și bazele de date publice cu privire la prestatori și servicii</w:t>
            </w:r>
          </w:p>
          <w:p w:rsidR="00A179B0" w:rsidRPr="008B60AB" w:rsidRDefault="00A179B0" w:rsidP="0003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(d) căile de atac care sunt în general disponibile în cazul unui litigiu între autoritățile competente și prestator sau beneficiar, sau între un prestator și un beneficiar, sau între prestatori</w:t>
            </w:r>
          </w:p>
          <w:p w:rsidR="00A179B0" w:rsidRPr="008B60AB" w:rsidRDefault="00A179B0" w:rsidP="0003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(e) coordonatele asociațiilor și organizațiilor, altele decât autoritățile competente, de la care prestatorii sau beneficiarii pot obține asistență practică. </w:t>
            </w:r>
          </w:p>
          <w:p w:rsidR="00A179B0" w:rsidRPr="008B60AB" w:rsidRDefault="00A179B0" w:rsidP="0003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(2) Informațiile se furnizează într-un limbaj clar și inteligibil.</w:t>
            </w:r>
          </w:p>
          <w:p w:rsidR="00A179B0" w:rsidRPr="008B60AB" w:rsidRDefault="00A179B0" w:rsidP="0003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(3) Statele membre se asigură că informațiile și asistența menționate la alineatele (1) și (2) sunt furnizate într-o manieră clară și neambiguă, că sunt ușor accesibile de la distanță prin mijloace electronice și că sunt actualizate. </w:t>
            </w:r>
          </w:p>
        </w:tc>
        <w:tc>
          <w:tcPr>
            <w:tcW w:w="3824" w:type="dxa"/>
          </w:tcPr>
          <w:p w:rsidR="00A179B0" w:rsidRPr="008B60AB" w:rsidRDefault="00A179B0" w:rsidP="000443C4">
            <w:pPr>
              <w:shd w:val="clear" w:color="auto" w:fill="002060"/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Neindeplinirea actelor normative europene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Pag.4-6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Comisia constata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 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.lipsesc caile de atac in caz de litigiu intre autoritatile competente si furnizor sau beneficiar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. lipsesc informatii privind mijloacele si conditiile de acces la 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registrele publice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. PCUe nnu contine informatii referitoare legate de recunoasterea calificarilor profesionale pentru toate profesiile reglementate din Romania(pag.6)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Comisia constata ca are loc o incalcare a art.7 din Directiva 2006/123/UE si art.57 din Directiva 2013/55/UE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B0" w:rsidRPr="008B60AB" w:rsidTr="00A179B0">
        <w:trPr>
          <w:trHeight w:val="416"/>
        </w:trPr>
        <w:tc>
          <w:tcPr>
            <w:tcW w:w="1021" w:type="dxa"/>
          </w:tcPr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5" w:type="dxa"/>
          </w:tcPr>
          <w:p w:rsidR="00A179B0" w:rsidRPr="008B60AB" w:rsidRDefault="00A179B0" w:rsidP="000443C4">
            <w:pPr>
              <w:shd w:val="clear" w:color="auto" w:fill="002060"/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Disponibilitatea procedurilor online prin intermediul PCUe</w:t>
            </w:r>
          </w:p>
          <w:p w:rsidR="00A179B0" w:rsidRPr="008B60AB" w:rsidRDefault="00A179B0" w:rsidP="00F8074A">
            <w:p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Art.6 (alin.1) si art.8 (alin.1)</w:t>
            </w:r>
          </w:p>
          <w:p w:rsidR="00A179B0" w:rsidRPr="008B60AB" w:rsidRDefault="00A179B0" w:rsidP="00F8074A">
            <w:p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Art.6 (alin.1)</w:t>
            </w:r>
          </w:p>
          <w:p w:rsidR="00A179B0" w:rsidRPr="008B60AB" w:rsidRDefault="00A179B0" w:rsidP="00F8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(1) Statele membre se asigură că este posibil ca prestatorii să 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îndeplinească, prin intermediul ghișeelor unice, următoarele proceduri și formalități:</w:t>
            </w:r>
          </w:p>
          <w:p w:rsidR="00A179B0" w:rsidRPr="008B60AB" w:rsidRDefault="00A179B0" w:rsidP="00F8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) toate procedurile și formalitățile necesare pentru accesul la activitățile de servicii ale acestuia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, în special toate declarațiile, notificările sau cererile necesare pentru obținerea autorizării de la autoritățile competente, inclusiv cererile de înscriere într-un registru, într-un rol sau într-o bază de date sau într-un ordin sau într-o asociație profesională.</w:t>
            </w:r>
          </w:p>
          <w:p w:rsidR="00A179B0" w:rsidRPr="008B60AB" w:rsidRDefault="00A179B0" w:rsidP="00F80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Art.8 (alin.1)</w:t>
            </w:r>
          </w:p>
          <w:p w:rsidR="00A179B0" w:rsidRPr="008B60AB" w:rsidRDefault="00A179B0" w:rsidP="00F8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Proceduri prin mijloace electronice (1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) Statele membre se asigură că toate procedurile și formalitățile cu privire la accesul la o activitate de servicii pot fi îndeplinite cu ușurință,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de la distanță și prin mijloace electronice, prin intermediul ghișeului unic competent și al autorităților competente.</w:t>
            </w:r>
          </w:p>
        </w:tc>
        <w:tc>
          <w:tcPr>
            <w:tcW w:w="3824" w:type="dxa"/>
          </w:tcPr>
          <w:p w:rsidR="00A179B0" w:rsidRPr="008B60AB" w:rsidRDefault="00A179B0" w:rsidP="000443C4">
            <w:pPr>
              <w:shd w:val="clear" w:color="auto" w:fill="002060"/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Neindeplinirea prevederilor actelor normative europene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Pag.10</w:t>
            </w:r>
          </w:p>
          <w:p w:rsidR="00A179B0" w:rsidRPr="008B60AB" w:rsidRDefault="00A179B0" w:rsidP="005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Comisia considera ca Romania nu si-a indeplinit obligatiile care ii revin in temeiul art.6 alin.(1)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 art.8 alin.(alin 1) din Directiva privind serviciile si art. 57 (a) din 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Directiva privind calificarile profesionale, in ceea ce priveste disponibilitatea procedurilor online prin intermediul PCUe</w:t>
            </w:r>
          </w:p>
          <w:p w:rsidR="00A179B0" w:rsidRPr="008B60AB" w:rsidRDefault="00A179B0" w:rsidP="00502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Pag.11</w:t>
            </w:r>
          </w:p>
          <w:p w:rsidR="00A179B0" w:rsidRPr="008B60AB" w:rsidRDefault="00A179B0" w:rsidP="0050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„Comisia considera ca o procedura care trebuie indeplinita cu usurinta, de la distanta si prin mijloace electronice”ar trebui sa permita indeplinirea tuturor etapelor sale intr-o maniera structurata printr-un singur canal de servicii.</w:t>
            </w:r>
          </w:p>
        </w:tc>
        <w:tc>
          <w:tcPr>
            <w:tcW w:w="2127" w:type="dxa"/>
          </w:tcPr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B0" w:rsidRPr="008B60AB" w:rsidTr="00A179B0">
        <w:trPr>
          <w:trHeight w:val="2126"/>
        </w:trPr>
        <w:tc>
          <w:tcPr>
            <w:tcW w:w="1021" w:type="dxa"/>
          </w:tcPr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5" w:type="dxa"/>
          </w:tcPr>
          <w:p w:rsidR="00AC7D23" w:rsidRDefault="00A179B0" w:rsidP="00AC7D23">
            <w:pPr>
              <w:shd w:val="clear" w:color="auto" w:fill="002060"/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Posibilitatea de a indeplini o procedura in intregime de la dista</w:t>
            </w:r>
            <w:r w:rsidR="00AC7D23">
              <w:rPr>
                <w:rFonts w:ascii="Times New Roman" w:hAnsi="Times New Roman" w:cs="Times New Roman"/>
                <w:sz w:val="24"/>
                <w:szCs w:val="24"/>
              </w:rPr>
              <w:t>nta si prin mijloace electronic</w:t>
            </w:r>
          </w:p>
          <w:p w:rsidR="00A179B0" w:rsidRPr="00AC7D23" w:rsidRDefault="00A179B0" w:rsidP="00AC7D23">
            <w:pPr>
              <w:shd w:val="clear" w:color="auto" w:fill="002060"/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Articolul 8 (alin.1)</w:t>
            </w:r>
          </w:p>
          <w:p w:rsidR="00A179B0" w:rsidRPr="008B60AB" w:rsidRDefault="00A179B0" w:rsidP="0016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Statele membre se asigură că </w:t>
            </w: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toate procedurile și formalitățile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 xml:space="preserve"> cu privire la accesul la o activitate de servicii pot fi îndeplinite cu ușurință, de la distanță și prin mijloace electronice, prin intermediul ghișeului unic competent și al 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autorităților competente</w:t>
            </w:r>
          </w:p>
        </w:tc>
        <w:tc>
          <w:tcPr>
            <w:tcW w:w="3824" w:type="dxa"/>
          </w:tcPr>
          <w:p w:rsidR="00A179B0" w:rsidRPr="008B60AB" w:rsidRDefault="00A179B0" w:rsidP="000443C4">
            <w:pPr>
              <w:shd w:val="clear" w:color="auto" w:fill="002060"/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Neindeplinirea prevederilor actelor normative europene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b/>
                <w:sz w:val="24"/>
                <w:szCs w:val="24"/>
              </w:rPr>
              <w:t>Pag.11</w:t>
            </w: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Comisia invita autoritati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romane sa isi respecte obli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gatiile care le revin in temeiul art.6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lin(1) , al art.8 (alin) 1 din D</w:t>
            </w:r>
            <w:r w:rsidRPr="008B60AB">
              <w:rPr>
                <w:rFonts w:ascii="Times New Roman" w:hAnsi="Times New Roman" w:cs="Times New Roman"/>
                <w:sz w:val="24"/>
                <w:szCs w:val="24"/>
              </w:rPr>
              <w:t>irectiva privind serviciile si art.57a din  Directiva privind calificarile profesionale</w:t>
            </w:r>
          </w:p>
        </w:tc>
        <w:tc>
          <w:tcPr>
            <w:tcW w:w="2127" w:type="dxa"/>
          </w:tcPr>
          <w:p w:rsidR="00A179B0" w:rsidRPr="008B60AB" w:rsidRDefault="00A179B0" w:rsidP="008A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138" w:rsidRPr="00744802" w:rsidRDefault="00247138">
      <w:pPr>
        <w:rPr>
          <w:rFonts w:ascii="Times New Roman" w:hAnsi="Times New Roman" w:cs="Times New Roman"/>
          <w:b/>
          <w:sz w:val="24"/>
          <w:szCs w:val="24"/>
        </w:rPr>
      </w:pPr>
    </w:p>
    <w:p w:rsidR="0029030F" w:rsidRPr="00744802" w:rsidRDefault="0029030F" w:rsidP="00744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802">
        <w:rPr>
          <w:rFonts w:ascii="Times New Roman" w:hAnsi="Times New Roman" w:cs="Times New Roman"/>
          <w:b/>
          <w:sz w:val="24"/>
          <w:szCs w:val="24"/>
        </w:rPr>
        <w:t>Concluzia Comisiei Europene –</w:t>
      </w:r>
      <w:r w:rsidR="008B60AB" w:rsidRPr="00744802">
        <w:rPr>
          <w:rFonts w:ascii="Times New Roman" w:hAnsi="Times New Roman" w:cs="Times New Roman"/>
          <w:b/>
          <w:sz w:val="24"/>
          <w:szCs w:val="24"/>
        </w:rPr>
        <w:t>Sc</w:t>
      </w:r>
      <w:r w:rsidR="00744802">
        <w:rPr>
          <w:rFonts w:ascii="Times New Roman" w:hAnsi="Times New Roman" w:cs="Times New Roman"/>
          <w:b/>
          <w:sz w:val="24"/>
          <w:szCs w:val="24"/>
        </w:rPr>
        <w:t>risoarea de punere in in</w:t>
      </w:r>
      <w:r w:rsidR="008B60AB" w:rsidRPr="00744802">
        <w:rPr>
          <w:rFonts w:ascii="Times New Roman" w:hAnsi="Times New Roman" w:cs="Times New Roman"/>
          <w:b/>
          <w:sz w:val="24"/>
          <w:szCs w:val="24"/>
        </w:rPr>
        <w:t>tarziere – Incalcarea  nr.2018/2393</w:t>
      </w:r>
      <w:r w:rsidR="00744802">
        <w:rPr>
          <w:rFonts w:ascii="Times New Roman" w:hAnsi="Times New Roman" w:cs="Times New Roman"/>
          <w:b/>
          <w:sz w:val="24"/>
          <w:szCs w:val="24"/>
        </w:rPr>
        <w:t>,</w:t>
      </w:r>
      <w:r w:rsidR="008B60AB" w:rsidRPr="00744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802">
        <w:rPr>
          <w:rFonts w:ascii="Times New Roman" w:hAnsi="Times New Roman" w:cs="Times New Roman"/>
          <w:b/>
          <w:sz w:val="24"/>
          <w:szCs w:val="24"/>
        </w:rPr>
        <w:t>pag 13</w:t>
      </w:r>
    </w:p>
    <w:p w:rsidR="0029030F" w:rsidRPr="00744802" w:rsidRDefault="0029030F" w:rsidP="002471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802">
        <w:rPr>
          <w:rFonts w:ascii="Times New Roman" w:hAnsi="Times New Roman" w:cs="Times New Roman"/>
          <w:b/>
          <w:sz w:val="24"/>
          <w:szCs w:val="24"/>
        </w:rPr>
        <w:t>Comisia invita autoritatile romane sa ia urmatoarele masuri</w:t>
      </w:r>
      <w:r w:rsidR="008B60AB" w:rsidRPr="00744802">
        <w:rPr>
          <w:rFonts w:ascii="Times New Roman" w:hAnsi="Times New Roman" w:cs="Times New Roman"/>
          <w:b/>
          <w:sz w:val="24"/>
          <w:szCs w:val="24"/>
        </w:rPr>
        <w:t xml:space="preserve"> necesare</w:t>
      </w:r>
      <w:r w:rsidRPr="00744802">
        <w:rPr>
          <w:rFonts w:ascii="Times New Roman" w:hAnsi="Times New Roman" w:cs="Times New Roman"/>
          <w:b/>
          <w:sz w:val="24"/>
          <w:szCs w:val="24"/>
        </w:rPr>
        <w:t>:</w:t>
      </w:r>
    </w:p>
    <w:p w:rsidR="0029030F" w:rsidRPr="008B60AB" w:rsidRDefault="0029030F" w:rsidP="0029030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0AB">
        <w:rPr>
          <w:rFonts w:ascii="Times New Roman" w:hAnsi="Times New Roman" w:cs="Times New Roman"/>
          <w:sz w:val="24"/>
          <w:szCs w:val="24"/>
        </w:rPr>
        <w:t>In vederea verificarii site-ului web al GU/PCUe pentru a se asigura ca prezenta fizica nu este necesara pentru nici o procedura sau formalitate impusa de legislatia romana si care se refera la accesul la o activitate de servicii care intra in domeniul de aplicare al Directivei privind serviciile si al Directivei privind calificarile profesionale;</w:t>
      </w:r>
    </w:p>
    <w:p w:rsidR="0029030F" w:rsidRPr="008B60AB" w:rsidRDefault="0029030F" w:rsidP="0029030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0AB">
        <w:rPr>
          <w:rFonts w:ascii="Times New Roman" w:hAnsi="Times New Roman" w:cs="Times New Roman"/>
          <w:sz w:val="24"/>
          <w:szCs w:val="24"/>
        </w:rPr>
        <w:t>Asigurarea faptului ca toate procedurile si formalitatilee din domeniul de aplicare al ambelor directive po</w:t>
      </w:r>
      <w:r w:rsidR="008B60AB" w:rsidRPr="008B60AB">
        <w:rPr>
          <w:rFonts w:ascii="Times New Roman" w:hAnsi="Times New Roman" w:cs="Times New Roman"/>
          <w:sz w:val="24"/>
          <w:szCs w:val="24"/>
        </w:rPr>
        <w:t>t fi indeplinite de la distanta</w:t>
      </w:r>
      <w:r w:rsidRPr="008B60AB">
        <w:rPr>
          <w:rFonts w:ascii="Times New Roman" w:hAnsi="Times New Roman" w:cs="Times New Roman"/>
          <w:sz w:val="24"/>
          <w:szCs w:val="24"/>
        </w:rPr>
        <w:t>, in special prin eliminarea tuturor obligatiilor de deplasare fizica pe teritoriul Romaniei</w:t>
      </w:r>
      <w:r w:rsidR="008B60AB" w:rsidRPr="008B60AB">
        <w:rPr>
          <w:rFonts w:ascii="Times New Roman" w:hAnsi="Times New Roman" w:cs="Times New Roman"/>
          <w:sz w:val="24"/>
          <w:szCs w:val="24"/>
        </w:rPr>
        <w:t>;</w:t>
      </w:r>
    </w:p>
    <w:p w:rsidR="008B60AB" w:rsidRPr="008B60AB" w:rsidRDefault="008B60AB" w:rsidP="0029030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0AB">
        <w:rPr>
          <w:rFonts w:ascii="Times New Roman" w:hAnsi="Times New Roman" w:cs="Times New Roman"/>
          <w:sz w:val="24"/>
          <w:szCs w:val="24"/>
        </w:rPr>
        <w:t>Transmiterea planurilor, inclusiv a masurilor si a unui calenda, conform carora se va elimina cerinta privind prezenta fizica din toate procedurile vizate de Directiva privind serviciile si al Directiva privind calificarile profesionale</w:t>
      </w:r>
    </w:p>
    <w:tbl>
      <w:tblPr>
        <w:tblpPr w:leftFromText="180" w:rightFromText="180" w:vertAnchor="text" w:tblpY="9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1C5C97" w:rsidRPr="00617804" w:rsidTr="00A12D8F">
        <w:trPr>
          <w:trHeight w:val="276"/>
        </w:trPr>
        <w:tc>
          <w:tcPr>
            <w:tcW w:w="1806" w:type="pct"/>
          </w:tcPr>
          <w:bookmarkEnd w:id="4"/>
          <w:p w:rsidR="001C5C97" w:rsidRPr="00617804" w:rsidRDefault="001C5C97" w:rsidP="00A12D8F">
            <w:pPr>
              <w:pStyle w:val="Default"/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fr-FR"/>
              </w:rPr>
            </w:pP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Autentificarea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utilizatorilor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din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cadrul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Uniunii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Europene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prin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sistemul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de 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Interoperabilitate</w:t>
            </w:r>
            <w:proofErr w:type="spellEnd"/>
            <w:proofErr w:type="gram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Tehnologică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cu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Statele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Membre UE (SITUE) – </w:t>
            </w:r>
            <w:proofErr w:type="spellStart"/>
            <w:r>
              <w:rPr>
                <w:rFonts w:ascii="Trebuchet MS" w:hAnsi="Trebuchet MS" w:cstheme="minorHAnsi"/>
                <w:sz w:val="22"/>
                <w:szCs w:val="22"/>
                <w:lang w:val="fr-FR"/>
              </w:rPr>
              <w:t>e</w:t>
            </w:r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IDAS</w:t>
            </w:r>
            <w:proofErr w:type="spellEnd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804">
              <w:rPr>
                <w:rFonts w:ascii="Trebuchet MS" w:hAnsi="Trebuchet MS" w:cstheme="minorHAnsi"/>
                <w:sz w:val="22"/>
                <w:szCs w:val="22"/>
                <w:lang w:val="fr-FR"/>
              </w:rPr>
              <w:t>România</w:t>
            </w:r>
            <w:proofErr w:type="spellEnd"/>
          </w:p>
        </w:tc>
      </w:tr>
    </w:tbl>
    <w:p w:rsidR="0029030F" w:rsidRPr="008B60AB" w:rsidRDefault="0029030F" w:rsidP="002471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030F" w:rsidRPr="008B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798" w:rsidRDefault="00C60798" w:rsidP="004F3138">
      <w:pPr>
        <w:spacing w:after="0" w:line="240" w:lineRule="auto"/>
      </w:pPr>
      <w:r>
        <w:separator/>
      </w:r>
    </w:p>
  </w:endnote>
  <w:endnote w:type="continuationSeparator" w:id="0">
    <w:p w:rsidR="00C60798" w:rsidRDefault="00C60798" w:rsidP="004F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798" w:rsidRDefault="00C60798" w:rsidP="004F3138">
      <w:pPr>
        <w:spacing w:after="0" w:line="240" w:lineRule="auto"/>
      </w:pPr>
      <w:r>
        <w:separator/>
      </w:r>
    </w:p>
  </w:footnote>
  <w:footnote w:type="continuationSeparator" w:id="0">
    <w:p w:rsidR="00C60798" w:rsidRDefault="00C60798" w:rsidP="004F3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8FC"/>
    <w:multiLevelType w:val="hybridMultilevel"/>
    <w:tmpl w:val="9DFE9B8A"/>
    <w:lvl w:ilvl="0" w:tplc="E66A1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749"/>
    <w:multiLevelType w:val="hybridMultilevel"/>
    <w:tmpl w:val="EE7CD1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6BB9"/>
    <w:multiLevelType w:val="hybridMultilevel"/>
    <w:tmpl w:val="1BBEA5FE"/>
    <w:lvl w:ilvl="0" w:tplc="3D2C3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62BD"/>
    <w:multiLevelType w:val="hybridMultilevel"/>
    <w:tmpl w:val="AAE0FF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E3683"/>
    <w:multiLevelType w:val="hybridMultilevel"/>
    <w:tmpl w:val="93F47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6DA5"/>
    <w:multiLevelType w:val="hybridMultilevel"/>
    <w:tmpl w:val="29EA7596"/>
    <w:lvl w:ilvl="0" w:tplc="ECF4D3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70239"/>
    <w:multiLevelType w:val="hybridMultilevel"/>
    <w:tmpl w:val="8D14BE14"/>
    <w:lvl w:ilvl="0" w:tplc="3CBC626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1657B74"/>
    <w:multiLevelType w:val="hybridMultilevel"/>
    <w:tmpl w:val="341685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126E0"/>
    <w:multiLevelType w:val="hybridMultilevel"/>
    <w:tmpl w:val="0EDA1588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88315B6"/>
    <w:multiLevelType w:val="hybridMultilevel"/>
    <w:tmpl w:val="492438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66144"/>
    <w:multiLevelType w:val="hybridMultilevel"/>
    <w:tmpl w:val="7830603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4C7045"/>
    <w:multiLevelType w:val="hybridMultilevel"/>
    <w:tmpl w:val="A3E87B7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0661D"/>
    <w:multiLevelType w:val="hybridMultilevel"/>
    <w:tmpl w:val="48660152"/>
    <w:lvl w:ilvl="0" w:tplc="A718B592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CC8228F"/>
    <w:multiLevelType w:val="hybridMultilevel"/>
    <w:tmpl w:val="DFAC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6688B"/>
    <w:multiLevelType w:val="hybridMultilevel"/>
    <w:tmpl w:val="48C62C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A5BCB"/>
    <w:multiLevelType w:val="hybridMultilevel"/>
    <w:tmpl w:val="AA6A18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3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38"/>
    <w:rsid w:val="000308A4"/>
    <w:rsid w:val="000443C4"/>
    <w:rsid w:val="0004609E"/>
    <w:rsid w:val="00075AB1"/>
    <w:rsid w:val="000C57D4"/>
    <w:rsid w:val="000E3D29"/>
    <w:rsid w:val="001646FE"/>
    <w:rsid w:val="001C5C97"/>
    <w:rsid w:val="001D74F8"/>
    <w:rsid w:val="00227D73"/>
    <w:rsid w:val="00235420"/>
    <w:rsid w:val="002418E1"/>
    <w:rsid w:val="00247138"/>
    <w:rsid w:val="00250A36"/>
    <w:rsid w:val="0029030F"/>
    <w:rsid w:val="002B26CE"/>
    <w:rsid w:val="00315F35"/>
    <w:rsid w:val="00334E03"/>
    <w:rsid w:val="003611B0"/>
    <w:rsid w:val="003E0518"/>
    <w:rsid w:val="003F5F16"/>
    <w:rsid w:val="004955A8"/>
    <w:rsid w:val="004D5531"/>
    <w:rsid w:val="004F3138"/>
    <w:rsid w:val="0050289A"/>
    <w:rsid w:val="00585ED2"/>
    <w:rsid w:val="0059154E"/>
    <w:rsid w:val="005971C1"/>
    <w:rsid w:val="005A00D8"/>
    <w:rsid w:val="005B7B5B"/>
    <w:rsid w:val="005E08D0"/>
    <w:rsid w:val="00667657"/>
    <w:rsid w:val="00692F7E"/>
    <w:rsid w:val="006D6532"/>
    <w:rsid w:val="00744802"/>
    <w:rsid w:val="0077186E"/>
    <w:rsid w:val="00773DCB"/>
    <w:rsid w:val="00796B44"/>
    <w:rsid w:val="007975CC"/>
    <w:rsid w:val="008A6647"/>
    <w:rsid w:val="008B60AB"/>
    <w:rsid w:val="00944360"/>
    <w:rsid w:val="009B6884"/>
    <w:rsid w:val="009D0861"/>
    <w:rsid w:val="009F628D"/>
    <w:rsid w:val="00A179B0"/>
    <w:rsid w:val="00A32109"/>
    <w:rsid w:val="00AC7D23"/>
    <w:rsid w:val="00AF7F7B"/>
    <w:rsid w:val="00B35CC8"/>
    <w:rsid w:val="00BB357A"/>
    <w:rsid w:val="00C12D31"/>
    <w:rsid w:val="00C60798"/>
    <w:rsid w:val="00C716FC"/>
    <w:rsid w:val="00CA2381"/>
    <w:rsid w:val="00E06612"/>
    <w:rsid w:val="00E932F6"/>
    <w:rsid w:val="00EA5438"/>
    <w:rsid w:val="00F14429"/>
    <w:rsid w:val="00F67474"/>
    <w:rsid w:val="00F7189C"/>
    <w:rsid w:val="00F8074A"/>
    <w:rsid w:val="00F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BF255-7302-454F-8BD2-E4A2AE83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F3138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3138"/>
    <w:rPr>
      <w:sz w:val="20"/>
      <w:szCs w:val="20"/>
      <w:lang w:val="en-GB"/>
    </w:rPr>
  </w:style>
  <w:style w:type="character" w:styleId="FootnoteReference">
    <w:name w:val="footnote reference"/>
    <w:aliases w:val="Footnote symbol Char,Footnote Reference Number Char,Footnote Reference Superscript Char,Footnote symbol Char Char,Footnote Reference Number Char Char,Footnote Reference Superscript Char Char,SUPERS Char1 Char Char Char,Nota"/>
    <w:basedOn w:val="DefaultParagraphFont"/>
    <w:link w:val="Footnotesymbol"/>
    <w:uiPriority w:val="99"/>
    <w:unhideWhenUsed/>
    <w:rsid w:val="004F313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3138"/>
    <w:rPr>
      <w:color w:val="0000FF" w:themeColor="hyperlink"/>
      <w:u w:val="single"/>
    </w:rPr>
  </w:style>
  <w:style w:type="paragraph" w:customStyle="1" w:styleId="Footnotesymbol">
    <w:name w:val="Footnote symbol"/>
    <w:aliases w:val="Footnote Reference Number,Footnote Reference Superscript,SUPERS Char1 Char Char,BVI fnr Char1 Char Char"/>
    <w:basedOn w:val="Normal"/>
    <w:next w:val="Normal"/>
    <w:link w:val="FootnoteReference"/>
    <w:uiPriority w:val="99"/>
    <w:rsid w:val="004F3138"/>
    <w:pPr>
      <w:spacing w:after="160" w:line="240" w:lineRule="exact"/>
    </w:pPr>
    <w:rPr>
      <w:vertAlign w:val="superscript"/>
    </w:rPr>
  </w:style>
  <w:style w:type="character" w:styleId="CommentReference">
    <w:name w:val="annotation reference"/>
    <w:uiPriority w:val="99"/>
    <w:semiHidden/>
    <w:rsid w:val="004F31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F3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4F31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F3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F3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customStyle="1" w:styleId="TableGrid1">
    <w:name w:val="Table Grid1"/>
    <w:basedOn w:val="TableNormal"/>
    <w:next w:val="TableGrid"/>
    <w:uiPriority w:val="59"/>
    <w:rsid w:val="004F313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F313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D74C-EBB2-47FE-9742-3A8F9286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Perhaita</dc:creator>
  <cp:lastModifiedBy>Maria Perhaita</cp:lastModifiedBy>
  <cp:revision>2</cp:revision>
  <dcterms:created xsi:type="dcterms:W3CDTF">2023-07-07T11:11:00Z</dcterms:created>
  <dcterms:modified xsi:type="dcterms:W3CDTF">2023-07-07T11:11:00Z</dcterms:modified>
</cp:coreProperties>
</file>