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202" w:rsidRDefault="00446202" w:rsidP="00446202">
      <w:pPr>
        <w:pStyle w:val="al"/>
        <w:shd w:val="clear" w:color="auto" w:fill="FFFFFF"/>
        <w:spacing w:before="0" w:beforeAutospacing="0" w:after="150" w:afterAutospacing="0"/>
        <w:rPr>
          <w:rFonts w:ascii="Calibri" w:hAnsi="Calibri"/>
          <w:color w:val="444444"/>
          <w:sz w:val="26"/>
          <w:szCs w:val="26"/>
        </w:rPr>
      </w:pPr>
    </w:p>
    <w:p w:rsidR="00446202" w:rsidRDefault="00446202" w:rsidP="00446202">
      <w:pPr>
        <w:pStyle w:val="al"/>
        <w:shd w:val="clear" w:color="auto" w:fill="FFFFFF"/>
        <w:spacing w:before="0" w:beforeAutospacing="0" w:after="150" w:afterAutospacing="0"/>
        <w:rPr>
          <w:rFonts w:ascii="Calibri" w:hAnsi="Calibri"/>
          <w:color w:val="333333"/>
          <w:sz w:val="26"/>
          <w:szCs w:val="26"/>
        </w:rPr>
      </w:pPr>
      <w:r w:rsidRPr="00446202">
        <w:rPr>
          <w:rFonts w:ascii="Calibri" w:hAnsi="Calibri"/>
          <w:b/>
          <w:color w:val="444444"/>
          <w:sz w:val="26"/>
          <w:szCs w:val="26"/>
        </w:rPr>
        <w:t>(1)</w:t>
      </w:r>
      <w:r>
        <w:rPr>
          <w:rFonts w:ascii="Calibri" w:hAnsi="Calibri"/>
          <w:color w:val="444444"/>
          <w:sz w:val="26"/>
          <w:szCs w:val="26"/>
        </w:rPr>
        <w:t xml:space="preserve"> </w:t>
      </w:r>
      <w:r>
        <w:rPr>
          <w:rFonts w:ascii="Calibri" w:hAnsi="Calibri"/>
          <w:color w:val="444444"/>
          <w:sz w:val="26"/>
          <w:szCs w:val="26"/>
        </w:rPr>
        <w:t>În vederea înscrierii la examenul de certificare, profesorii diriginți ai claselor terminale ale ciclului superior al liceului tehnologic întocmesc tabele cu elevii din ultim</w:t>
      </w:r>
      <w:bookmarkStart w:id="0" w:name="_GoBack"/>
      <w:bookmarkEnd w:id="0"/>
      <w:r>
        <w:rPr>
          <w:rFonts w:ascii="Calibri" w:hAnsi="Calibri"/>
          <w:color w:val="444444"/>
          <w:sz w:val="26"/>
          <w:szCs w:val="26"/>
        </w:rPr>
        <w:t>ul an de liceu, care cuprind următoarele date: numele și prenumele elevilor, clasa, calificarea profesională în care s-au pregătit, tema proiectului elaborat și semnăturile elevilor.</w:t>
      </w:r>
    </w:p>
    <w:p w:rsidR="00446202" w:rsidRDefault="00446202" w:rsidP="00446202">
      <w:pPr>
        <w:pStyle w:val="al"/>
        <w:shd w:val="clear" w:color="auto" w:fill="FFFFFF"/>
        <w:spacing w:before="0" w:beforeAutospacing="0" w:after="150" w:afterAutospacing="0"/>
        <w:rPr>
          <w:rFonts w:ascii="Calibri" w:hAnsi="Calibri"/>
          <w:color w:val="333333"/>
          <w:sz w:val="26"/>
          <w:szCs w:val="26"/>
        </w:rPr>
      </w:pPr>
      <w:r>
        <w:rPr>
          <w:rFonts w:ascii="Calibri" w:hAnsi="Calibri"/>
          <w:b/>
          <w:bCs/>
          <w:color w:val="222222"/>
          <w:sz w:val="26"/>
          <w:szCs w:val="26"/>
        </w:rPr>
        <w:t>(2)</w:t>
      </w:r>
      <w:r>
        <w:rPr>
          <w:rFonts w:ascii="Calibri" w:hAnsi="Calibri"/>
          <w:color w:val="444444"/>
          <w:sz w:val="26"/>
          <w:szCs w:val="26"/>
        </w:rPr>
        <w:t> Vor fi incluse în tabelul de înscriere doar numele elevilor care au depus cerere de elaborare a proiectului, au optat pentru una dintre temele propuse, au participat la minimum 5 întâlniri de monitorizare cu îndrumătorul de proiect și au finalizat elaborarea proiectului ales.</w:t>
      </w:r>
    </w:p>
    <w:p w:rsidR="00446202" w:rsidRDefault="00446202" w:rsidP="00446202">
      <w:pPr>
        <w:pStyle w:val="al"/>
        <w:shd w:val="clear" w:color="auto" w:fill="FFFFFF"/>
        <w:spacing w:before="0" w:beforeAutospacing="0" w:after="150" w:afterAutospacing="0"/>
        <w:rPr>
          <w:rFonts w:ascii="Calibri" w:hAnsi="Calibri"/>
          <w:color w:val="333333"/>
          <w:sz w:val="26"/>
          <w:szCs w:val="26"/>
        </w:rPr>
      </w:pPr>
      <w:r>
        <w:rPr>
          <w:rFonts w:ascii="Calibri" w:hAnsi="Calibri"/>
          <w:b/>
          <w:bCs/>
          <w:color w:val="222222"/>
          <w:sz w:val="26"/>
          <w:szCs w:val="26"/>
        </w:rPr>
        <w:t>(3)</w:t>
      </w:r>
      <w:r>
        <w:rPr>
          <w:rFonts w:ascii="Calibri" w:hAnsi="Calibri"/>
          <w:color w:val="444444"/>
          <w:sz w:val="26"/>
          <w:szCs w:val="26"/>
        </w:rPr>
        <w:t> Tabelele prevăzute la alin. (1) se depun, însoțite de cererile de înscriere la examenul de certificare, în perioada prevăzută în graficul examenului de certificare, la secretariatul unității de învățământ. Pe baza acestora, secretarul/secretarul- șef al unității de învățământ întocmește lista provizorie cu elevii înscriși pentru susținerea examenului de certificare, pe domenii și calificări profesionale.</w:t>
      </w:r>
    </w:p>
    <w:p w:rsidR="00446202" w:rsidRDefault="00446202" w:rsidP="00446202">
      <w:pPr>
        <w:pStyle w:val="al"/>
        <w:shd w:val="clear" w:color="auto" w:fill="FFFFFF"/>
        <w:spacing w:before="0" w:beforeAutospacing="0" w:after="150" w:afterAutospacing="0"/>
        <w:rPr>
          <w:rFonts w:ascii="Calibri" w:hAnsi="Calibri"/>
          <w:color w:val="333333"/>
          <w:sz w:val="26"/>
          <w:szCs w:val="26"/>
        </w:rPr>
      </w:pPr>
      <w:r>
        <w:rPr>
          <w:rFonts w:ascii="Calibri" w:hAnsi="Calibri"/>
          <w:b/>
          <w:bCs/>
          <w:color w:val="222222"/>
          <w:sz w:val="26"/>
          <w:szCs w:val="26"/>
        </w:rPr>
        <w:t>(4)</w:t>
      </w:r>
      <w:r>
        <w:rPr>
          <w:rFonts w:ascii="Calibri" w:hAnsi="Calibri"/>
          <w:color w:val="444444"/>
          <w:sz w:val="26"/>
          <w:szCs w:val="26"/>
        </w:rPr>
        <w:t> Lista provizorie cu elevii înscriși pentru susținerea examenului de certificare, certificată prin semnătura directorului și ștampila instituției, se depune la secretariatul unității de învățământ stabilite de CJEC/CMBEC drept centru de examen la care unitatea de învățământ a fost arondată. Pe baza tabelelor transmise de toate unitățile de învățământ arondate centrului de examen, secretarul/secretarul-șef din centrul de examen întocmește lista provizorie cu elevii înscriși pentru susținerea examenului de certificare pe domenii și calificări profesionale.</w:t>
      </w:r>
    </w:p>
    <w:p w:rsidR="00446202" w:rsidRDefault="00446202" w:rsidP="00446202">
      <w:pPr>
        <w:pStyle w:val="al"/>
        <w:shd w:val="clear" w:color="auto" w:fill="FFFFFF"/>
        <w:spacing w:before="0" w:beforeAutospacing="0" w:after="150" w:afterAutospacing="0"/>
        <w:rPr>
          <w:rFonts w:ascii="Calibri" w:hAnsi="Calibri"/>
          <w:color w:val="333333"/>
          <w:sz w:val="26"/>
          <w:szCs w:val="26"/>
        </w:rPr>
      </w:pPr>
      <w:r>
        <w:rPr>
          <w:rFonts w:ascii="Calibri" w:hAnsi="Calibri"/>
          <w:b/>
          <w:bCs/>
          <w:color w:val="222222"/>
          <w:sz w:val="26"/>
          <w:szCs w:val="26"/>
        </w:rPr>
        <w:t>(5)</w:t>
      </w:r>
      <w:r>
        <w:rPr>
          <w:rFonts w:ascii="Calibri" w:hAnsi="Calibri"/>
          <w:color w:val="444444"/>
          <w:sz w:val="26"/>
          <w:szCs w:val="26"/>
        </w:rPr>
        <w:t> Înscrierea candidaților se realizează pe baza tabelelor întocmite în conformitate cu prevederile alin. (1) și a următoarelor documente:</w:t>
      </w:r>
    </w:p>
    <w:p w:rsidR="00446202" w:rsidRPr="00446202" w:rsidRDefault="00446202" w:rsidP="00446202">
      <w:pPr>
        <w:shd w:val="clear" w:color="auto" w:fill="FFFFFF"/>
        <w:spacing w:after="150" w:line="240" w:lineRule="auto"/>
        <w:rPr>
          <w:rFonts w:ascii="Calibri" w:eastAsia="Times New Roman" w:hAnsi="Calibri" w:cs="Times New Roman"/>
          <w:color w:val="333333"/>
          <w:sz w:val="26"/>
          <w:szCs w:val="26"/>
          <w:lang w:eastAsia="ro-RO"/>
        </w:rPr>
      </w:pPr>
      <w:r w:rsidRPr="00446202">
        <w:rPr>
          <w:rFonts w:ascii="Calibri" w:eastAsia="Times New Roman" w:hAnsi="Calibri" w:cs="Times New Roman"/>
          <w:b/>
          <w:bCs/>
          <w:color w:val="222222"/>
          <w:sz w:val="26"/>
          <w:szCs w:val="26"/>
          <w:lang w:eastAsia="ro-RO"/>
        </w:rPr>
        <w:t>a)</w:t>
      </w:r>
      <w:r w:rsidRPr="00446202">
        <w:rPr>
          <w:rFonts w:ascii="Calibri" w:eastAsia="Times New Roman" w:hAnsi="Calibri" w:cs="Times New Roman"/>
          <w:color w:val="444444"/>
          <w:sz w:val="26"/>
          <w:szCs w:val="26"/>
          <w:lang w:eastAsia="ro-RO"/>
        </w:rPr>
        <w:t> cerere de înscriere;</w:t>
      </w:r>
    </w:p>
    <w:p w:rsidR="00446202" w:rsidRPr="00446202" w:rsidRDefault="00446202" w:rsidP="00446202">
      <w:pPr>
        <w:shd w:val="clear" w:color="auto" w:fill="FFFFFF"/>
        <w:spacing w:after="150" w:line="240" w:lineRule="auto"/>
        <w:rPr>
          <w:rFonts w:ascii="Calibri" w:eastAsia="Times New Roman" w:hAnsi="Calibri" w:cs="Times New Roman"/>
          <w:color w:val="333333"/>
          <w:sz w:val="26"/>
          <w:szCs w:val="26"/>
          <w:lang w:eastAsia="ro-RO"/>
        </w:rPr>
      </w:pPr>
      <w:r w:rsidRPr="00446202">
        <w:rPr>
          <w:rFonts w:ascii="Calibri" w:eastAsia="Times New Roman" w:hAnsi="Calibri" w:cs="Times New Roman"/>
          <w:b/>
          <w:bCs/>
          <w:color w:val="222222"/>
          <w:sz w:val="26"/>
          <w:szCs w:val="26"/>
          <w:lang w:eastAsia="ro-RO"/>
        </w:rPr>
        <w:t>b)</w:t>
      </w:r>
      <w:r w:rsidRPr="00446202">
        <w:rPr>
          <w:rFonts w:ascii="Calibri" w:eastAsia="Times New Roman" w:hAnsi="Calibri" w:cs="Times New Roman"/>
          <w:color w:val="444444"/>
          <w:sz w:val="26"/>
          <w:szCs w:val="26"/>
          <w:lang w:eastAsia="ro-RO"/>
        </w:rPr>
        <w:t> certificat de naștere - în copie certificată ca fiind conformă cu originalul;</w:t>
      </w:r>
    </w:p>
    <w:p w:rsidR="00446202" w:rsidRPr="00446202" w:rsidRDefault="00446202" w:rsidP="00446202">
      <w:pPr>
        <w:shd w:val="clear" w:color="auto" w:fill="FFFFFF"/>
        <w:spacing w:after="150" w:line="240" w:lineRule="auto"/>
        <w:rPr>
          <w:rFonts w:ascii="Calibri" w:eastAsia="Times New Roman" w:hAnsi="Calibri" w:cs="Times New Roman"/>
          <w:color w:val="333333"/>
          <w:sz w:val="26"/>
          <w:szCs w:val="26"/>
          <w:lang w:eastAsia="ro-RO"/>
        </w:rPr>
      </w:pPr>
      <w:r w:rsidRPr="00446202">
        <w:rPr>
          <w:rFonts w:ascii="Calibri" w:eastAsia="Times New Roman" w:hAnsi="Calibri" w:cs="Times New Roman"/>
          <w:b/>
          <w:bCs/>
          <w:color w:val="222222"/>
          <w:sz w:val="26"/>
          <w:szCs w:val="26"/>
          <w:lang w:eastAsia="ro-RO"/>
        </w:rPr>
        <w:t>c)</w:t>
      </w:r>
      <w:r w:rsidRPr="00446202">
        <w:rPr>
          <w:rFonts w:ascii="Calibri" w:eastAsia="Times New Roman" w:hAnsi="Calibri" w:cs="Times New Roman"/>
          <w:color w:val="444444"/>
          <w:sz w:val="26"/>
          <w:szCs w:val="26"/>
          <w:lang w:eastAsia="ro-RO"/>
        </w:rPr>
        <w:t> certificat de căsătorie - în copie certificată ca fiind conformă cu originalul (dacă este cazul);</w:t>
      </w:r>
    </w:p>
    <w:p w:rsidR="00446202" w:rsidRPr="00446202" w:rsidRDefault="00446202" w:rsidP="00446202">
      <w:pPr>
        <w:shd w:val="clear" w:color="auto" w:fill="FFFFFF"/>
        <w:spacing w:after="150" w:line="240" w:lineRule="auto"/>
        <w:rPr>
          <w:rFonts w:ascii="Calibri" w:eastAsia="Times New Roman" w:hAnsi="Calibri" w:cs="Times New Roman"/>
          <w:color w:val="333333"/>
          <w:sz w:val="26"/>
          <w:szCs w:val="26"/>
          <w:lang w:eastAsia="ro-RO"/>
        </w:rPr>
      </w:pPr>
      <w:r w:rsidRPr="00446202">
        <w:rPr>
          <w:rFonts w:ascii="Calibri" w:eastAsia="Times New Roman" w:hAnsi="Calibri" w:cs="Times New Roman"/>
          <w:b/>
          <w:bCs/>
          <w:color w:val="222222"/>
          <w:sz w:val="26"/>
          <w:szCs w:val="26"/>
          <w:lang w:eastAsia="ro-RO"/>
        </w:rPr>
        <w:t>d)</w:t>
      </w:r>
      <w:r w:rsidRPr="00446202">
        <w:rPr>
          <w:rFonts w:ascii="Calibri" w:eastAsia="Times New Roman" w:hAnsi="Calibri" w:cs="Times New Roman"/>
          <w:color w:val="444444"/>
          <w:sz w:val="26"/>
          <w:szCs w:val="26"/>
          <w:lang w:eastAsia="ro-RO"/>
        </w:rPr>
        <w:t> actul de identitate (pentru conformitate) - în copie certificată ca fiind conformă cu originalul;</w:t>
      </w:r>
    </w:p>
    <w:p w:rsidR="00446202" w:rsidRPr="00446202" w:rsidRDefault="00446202" w:rsidP="00446202">
      <w:pPr>
        <w:shd w:val="clear" w:color="auto" w:fill="FFFFFF"/>
        <w:spacing w:after="150" w:line="240" w:lineRule="auto"/>
        <w:rPr>
          <w:rFonts w:ascii="Calibri" w:eastAsia="Times New Roman" w:hAnsi="Calibri" w:cs="Times New Roman"/>
          <w:color w:val="333333"/>
          <w:sz w:val="26"/>
          <w:szCs w:val="26"/>
          <w:lang w:eastAsia="ro-RO"/>
        </w:rPr>
      </w:pPr>
      <w:r w:rsidRPr="00446202">
        <w:rPr>
          <w:rFonts w:ascii="Calibri" w:eastAsia="Times New Roman" w:hAnsi="Calibri" w:cs="Times New Roman"/>
          <w:b/>
          <w:bCs/>
          <w:color w:val="222222"/>
          <w:sz w:val="26"/>
          <w:szCs w:val="26"/>
          <w:lang w:eastAsia="ro-RO"/>
        </w:rPr>
        <w:t>e)</w:t>
      </w:r>
      <w:r w:rsidRPr="00446202">
        <w:rPr>
          <w:rFonts w:ascii="Calibri" w:eastAsia="Times New Roman" w:hAnsi="Calibri" w:cs="Times New Roman"/>
          <w:color w:val="444444"/>
          <w:sz w:val="26"/>
          <w:szCs w:val="26"/>
          <w:lang w:eastAsia="ro-RO"/>
        </w:rPr>
        <w:t> declarație pe răspunderea candidatului că a luat cunoștință și că va respecta normele de protecția muncii și pe cele igienico-sanitare implicate de utilizarea corectă a echipamentelor, pe durata desfășurării probelor de examen.</w:t>
      </w:r>
    </w:p>
    <w:p w:rsidR="00446202" w:rsidRPr="00446202" w:rsidRDefault="00446202" w:rsidP="00446202">
      <w:pPr>
        <w:shd w:val="clear" w:color="auto" w:fill="FFFFFF"/>
        <w:spacing w:after="150" w:line="240" w:lineRule="auto"/>
        <w:rPr>
          <w:rFonts w:ascii="Calibri" w:eastAsia="Times New Roman" w:hAnsi="Calibri" w:cs="Times New Roman"/>
          <w:color w:val="333333"/>
          <w:sz w:val="26"/>
          <w:szCs w:val="26"/>
          <w:lang w:eastAsia="ro-RO"/>
        </w:rPr>
      </w:pPr>
      <w:r w:rsidRPr="00446202">
        <w:rPr>
          <w:rFonts w:ascii="Calibri" w:eastAsia="Times New Roman" w:hAnsi="Calibri" w:cs="Times New Roman"/>
          <w:b/>
          <w:bCs/>
          <w:color w:val="222222"/>
          <w:sz w:val="26"/>
          <w:szCs w:val="26"/>
          <w:lang w:eastAsia="ro-RO"/>
        </w:rPr>
        <w:t>(6)</w:t>
      </w:r>
      <w:r w:rsidRPr="00446202">
        <w:rPr>
          <w:rFonts w:ascii="Calibri" w:eastAsia="Times New Roman" w:hAnsi="Calibri" w:cs="Times New Roman"/>
          <w:color w:val="444444"/>
          <w:sz w:val="26"/>
          <w:szCs w:val="26"/>
          <w:lang w:eastAsia="ro-RO"/>
        </w:rPr>
        <w:t> Unitățile de învățământ arondate trimit la centrul de examen de care aparțin următoarele:</w:t>
      </w:r>
    </w:p>
    <w:p w:rsidR="00446202" w:rsidRPr="00446202" w:rsidRDefault="00446202" w:rsidP="00446202">
      <w:pPr>
        <w:shd w:val="clear" w:color="auto" w:fill="FFFFFF"/>
        <w:spacing w:after="150" w:line="240" w:lineRule="auto"/>
        <w:rPr>
          <w:rFonts w:ascii="Calibri" w:eastAsia="Times New Roman" w:hAnsi="Calibri" w:cs="Times New Roman"/>
          <w:color w:val="333333"/>
          <w:sz w:val="26"/>
          <w:szCs w:val="26"/>
          <w:lang w:eastAsia="ro-RO"/>
        </w:rPr>
      </w:pPr>
      <w:r w:rsidRPr="00446202">
        <w:rPr>
          <w:rFonts w:ascii="Calibri" w:eastAsia="Times New Roman" w:hAnsi="Calibri" w:cs="Times New Roman"/>
          <w:b/>
          <w:bCs/>
          <w:color w:val="222222"/>
          <w:sz w:val="26"/>
          <w:szCs w:val="26"/>
          <w:lang w:eastAsia="ro-RO"/>
        </w:rPr>
        <w:t>a)</w:t>
      </w:r>
      <w:r w:rsidRPr="00446202">
        <w:rPr>
          <w:rFonts w:ascii="Calibri" w:eastAsia="Times New Roman" w:hAnsi="Calibri" w:cs="Times New Roman"/>
          <w:color w:val="444444"/>
          <w:sz w:val="26"/>
          <w:szCs w:val="26"/>
          <w:lang w:eastAsia="ro-RO"/>
        </w:rPr>
        <w:t> lista provizorie cu elevii înscriși pentru susținerea examenului de certificare, pe domenii și calificări profesionale, prevăzută la alin. (4);</w:t>
      </w:r>
    </w:p>
    <w:p w:rsidR="00446202" w:rsidRPr="00446202" w:rsidRDefault="00446202" w:rsidP="00446202">
      <w:pPr>
        <w:shd w:val="clear" w:color="auto" w:fill="FFFFFF"/>
        <w:spacing w:after="150" w:line="240" w:lineRule="auto"/>
        <w:rPr>
          <w:rFonts w:ascii="Calibri" w:eastAsia="Times New Roman" w:hAnsi="Calibri" w:cs="Times New Roman"/>
          <w:color w:val="333333"/>
          <w:sz w:val="26"/>
          <w:szCs w:val="26"/>
          <w:lang w:eastAsia="ro-RO"/>
        </w:rPr>
      </w:pPr>
      <w:r w:rsidRPr="00446202">
        <w:rPr>
          <w:rFonts w:ascii="Calibri" w:eastAsia="Times New Roman" w:hAnsi="Calibri" w:cs="Times New Roman"/>
          <w:b/>
          <w:bCs/>
          <w:color w:val="222222"/>
          <w:sz w:val="26"/>
          <w:szCs w:val="26"/>
          <w:lang w:eastAsia="ro-RO"/>
        </w:rPr>
        <w:lastRenderedPageBreak/>
        <w:t>b)</w:t>
      </w:r>
      <w:r w:rsidRPr="00446202">
        <w:rPr>
          <w:rFonts w:ascii="Calibri" w:eastAsia="Times New Roman" w:hAnsi="Calibri" w:cs="Times New Roman"/>
          <w:color w:val="444444"/>
          <w:sz w:val="26"/>
          <w:szCs w:val="26"/>
          <w:lang w:eastAsia="ro-RO"/>
        </w:rPr>
        <w:t> documentele de înscriere ale candidaților prevăzute la alin. (5);</w:t>
      </w:r>
    </w:p>
    <w:p w:rsidR="00446202" w:rsidRPr="00446202" w:rsidRDefault="00446202" w:rsidP="00446202">
      <w:pPr>
        <w:shd w:val="clear" w:color="auto" w:fill="FFFFFF"/>
        <w:spacing w:after="150" w:line="240" w:lineRule="auto"/>
        <w:rPr>
          <w:rFonts w:ascii="Calibri" w:eastAsia="Times New Roman" w:hAnsi="Calibri" w:cs="Times New Roman"/>
          <w:color w:val="333333"/>
          <w:sz w:val="26"/>
          <w:szCs w:val="26"/>
          <w:lang w:eastAsia="ro-RO"/>
        </w:rPr>
      </w:pPr>
      <w:r w:rsidRPr="00446202">
        <w:rPr>
          <w:rFonts w:ascii="Calibri" w:eastAsia="Times New Roman" w:hAnsi="Calibri" w:cs="Times New Roman"/>
          <w:b/>
          <w:bCs/>
          <w:color w:val="222222"/>
          <w:sz w:val="26"/>
          <w:szCs w:val="26"/>
          <w:lang w:eastAsia="ro-RO"/>
        </w:rPr>
        <w:t>c)</w:t>
      </w:r>
      <w:r w:rsidRPr="00446202">
        <w:rPr>
          <w:rFonts w:ascii="Calibri" w:eastAsia="Times New Roman" w:hAnsi="Calibri" w:cs="Times New Roman"/>
          <w:color w:val="444444"/>
          <w:sz w:val="26"/>
          <w:szCs w:val="26"/>
          <w:lang w:eastAsia="ro-RO"/>
        </w:rPr>
        <w:t> proiectele și fișele de evaluare a proiectului și a susținerii orale (anexa </w:t>
      </w:r>
      <w:hyperlink r:id="rId5" w:anchor="p-68410192" w:tgtFrame="_blank" w:history="1">
        <w:r w:rsidRPr="00446202">
          <w:rPr>
            <w:rFonts w:ascii="Calibri" w:eastAsia="Times New Roman" w:hAnsi="Calibri" w:cs="Times New Roman"/>
            <w:color w:val="1A86B6"/>
            <w:sz w:val="26"/>
            <w:szCs w:val="26"/>
            <w:u w:val="single"/>
            <w:lang w:eastAsia="ro-RO"/>
          </w:rPr>
          <w:t>nr. 2</w:t>
        </w:r>
      </w:hyperlink>
      <w:r w:rsidRPr="00446202">
        <w:rPr>
          <w:rFonts w:ascii="Calibri" w:eastAsia="Times New Roman" w:hAnsi="Calibri" w:cs="Times New Roman"/>
          <w:color w:val="444444"/>
          <w:sz w:val="26"/>
          <w:szCs w:val="26"/>
          <w:lang w:eastAsia="ro-RO"/>
        </w:rPr>
        <w:t>) cu părțile I, II și III completate de către îndrumătorul de proiect.</w:t>
      </w:r>
    </w:p>
    <w:p w:rsidR="00446202" w:rsidRPr="00446202" w:rsidRDefault="00446202" w:rsidP="00446202">
      <w:pPr>
        <w:shd w:val="clear" w:color="auto" w:fill="FFFFFF"/>
        <w:spacing w:after="150" w:line="240" w:lineRule="auto"/>
        <w:rPr>
          <w:rFonts w:ascii="Calibri" w:eastAsia="Times New Roman" w:hAnsi="Calibri" w:cs="Times New Roman"/>
          <w:color w:val="333333"/>
          <w:sz w:val="26"/>
          <w:szCs w:val="26"/>
          <w:lang w:eastAsia="ro-RO"/>
        </w:rPr>
      </w:pPr>
      <w:r w:rsidRPr="00446202">
        <w:rPr>
          <w:rFonts w:ascii="Calibri" w:eastAsia="Times New Roman" w:hAnsi="Calibri" w:cs="Times New Roman"/>
          <w:b/>
          <w:bCs/>
          <w:color w:val="222222"/>
          <w:sz w:val="26"/>
          <w:szCs w:val="26"/>
          <w:lang w:eastAsia="ro-RO"/>
        </w:rPr>
        <w:t>(7)</w:t>
      </w:r>
      <w:r w:rsidRPr="00446202">
        <w:rPr>
          <w:rFonts w:ascii="Calibri" w:eastAsia="Times New Roman" w:hAnsi="Calibri" w:cs="Times New Roman"/>
          <w:color w:val="444444"/>
          <w:sz w:val="26"/>
          <w:szCs w:val="26"/>
          <w:lang w:eastAsia="ro-RO"/>
        </w:rPr>
        <w:t> După încheierea cursurilor anului școlar, secretarul/secretarul-șef al unității de învățământ întocmește lista candidaților care trebuie eliminați din lista provizorie întrucât sunt corigenți, repetenți, cu situația neîncheiată sau exmatriculați și o trimite la centrul de examen la care este arondată unitatea de învățământ. Acești candidați nu vor participa la examenul de certificare.</w:t>
      </w:r>
    </w:p>
    <w:p w:rsidR="00446202" w:rsidRPr="00446202" w:rsidRDefault="00446202" w:rsidP="00446202">
      <w:pPr>
        <w:shd w:val="clear" w:color="auto" w:fill="FFFFFF"/>
        <w:spacing w:before="225" w:after="75" w:line="240" w:lineRule="auto"/>
        <w:outlineLvl w:val="3"/>
        <w:rPr>
          <w:rFonts w:ascii="Calibri" w:eastAsia="Times New Roman" w:hAnsi="Calibri" w:cs="Times New Roman"/>
          <w:color w:val="333333"/>
          <w:sz w:val="26"/>
          <w:szCs w:val="26"/>
          <w:lang w:eastAsia="ro-RO"/>
        </w:rPr>
      </w:pPr>
      <w:hyperlink r:id="rId6" w:tgtFrame="_blank" w:history="1">
        <w:r w:rsidRPr="00446202">
          <w:rPr>
            <w:rFonts w:ascii="Calibri" w:eastAsia="Times New Roman" w:hAnsi="Calibri" w:cs="Times New Roman"/>
            <w:b/>
            <w:bCs/>
            <w:color w:val="1A86B6"/>
            <w:sz w:val="26"/>
            <w:szCs w:val="26"/>
            <w:u w:val="single"/>
            <w:lang w:eastAsia="ro-RO"/>
          </w:rPr>
          <w:t>Art. 16. -</w:t>
        </w:r>
      </w:hyperlink>
      <w:r>
        <w:rPr>
          <w:rFonts w:ascii="Calibri" w:eastAsia="Times New Roman" w:hAnsi="Calibri" w:cs="Times New Roman"/>
          <w:b/>
          <w:bCs/>
          <w:color w:val="2A76A7"/>
          <w:sz w:val="26"/>
          <w:szCs w:val="26"/>
          <w:lang w:eastAsia="ro-RO"/>
        </w:rPr>
        <w:t xml:space="preserve"> </w:t>
      </w:r>
      <w:r w:rsidRPr="00446202">
        <w:rPr>
          <w:rFonts w:ascii="Calibri" w:eastAsia="Times New Roman" w:hAnsi="Calibri" w:cs="Times New Roman"/>
          <w:color w:val="444444"/>
          <w:sz w:val="26"/>
          <w:szCs w:val="26"/>
          <w:lang w:eastAsia="ro-RO"/>
        </w:rPr>
        <w:t>Înscrierea absolvenților unităților de învățământ particular autorizate la examenul de certificare se face la centrul de examen la care acestea au fost arondate de către CJEC/CMBEC, pe baza elementelor prevăzute la art. 15, însoțite de o copie, certificată prin semnătura directorului și ștampila unității de învățământ, de pe documentul de autorizare pentru școlarizarea în calificările profesionale pentru care absolvenții solicită înscrierea în examen.</w:t>
      </w:r>
    </w:p>
    <w:p w:rsidR="00446202" w:rsidRDefault="00446202" w:rsidP="00446202">
      <w:pPr>
        <w:pStyle w:val="al"/>
        <w:shd w:val="clear" w:color="auto" w:fill="FFFFFF"/>
        <w:spacing w:before="0" w:beforeAutospacing="0" w:after="150" w:afterAutospacing="0"/>
        <w:rPr>
          <w:rFonts w:ascii="Calibri" w:hAnsi="Calibri"/>
          <w:color w:val="333333"/>
          <w:sz w:val="26"/>
          <w:szCs w:val="26"/>
        </w:rPr>
      </w:pPr>
      <w:r>
        <w:rPr>
          <w:rFonts w:ascii="Calibri" w:hAnsi="Calibri"/>
          <w:b/>
          <w:bCs/>
          <w:color w:val="222222"/>
          <w:sz w:val="26"/>
          <w:szCs w:val="26"/>
        </w:rPr>
        <w:t>(1)</w:t>
      </w:r>
      <w:r>
        <w:rPr>
          <w:rFonts w:ascii="Calibri" w:hAnsi="Calibri"/>
          <w:color w:val="444444"/>
          <w:sz w:val="26"/>
          <w:szCs w:val="26"/>
        </w:rPr>
        <w:t> Candidații care provin din seriile anterioare anului în care se susține examenul de certificare au obligația de a se adresa unităților de învățământ absolvite în vederea depunerii cererii de elaborare a proiectului, alegerii temei de proiect, precum și a stabilirii îndrumătorului și a graficului întâlnirilor de monitorizare a proiectului.</w:t>
      </w:r>
    </w:p>
    <w:p w:rsidR="00446202" w:rsidRDefault="00446202" w:rsidP="00446202">
      <w:pPr>
        <w:pStyle w:val="al"/>
        <w:shd w:val="clear" w:color="auto" w:fill="FFFFFF"/>
        <w:spacing w:before="0" w:beforeAutospacing="0" w:after="150" w:afterAutospacing="0"/>
        <w:rPr>
          <w:rFonts w:ascii="Calibri" w:hAnsi="Calibri"/>
          <w:color w:val="333333"/>
          <w:sz w:val="26"/>
          <w:szCs w:val="26"/>
        </w:rPr>
      </w:pPr>
      <w:r>
        <w:rPr>
          <w:rFonts w:ascii="Calibri" w:hAnsi="Calibri"/>
          <w:b/>
          <w:bCs/>
          <w:color w:val="222222"/>
          <w:sz w:val="26"/>
          <w:szCs w:val="26"/>
        </w:rPr>
        <w:t>(2)</w:t>
      </w:r>
      <w:r>
        <w:rPr>
          <w:rFonts w:ascii="Calibri" w:hAnsi="Calibri"/>
          <w:color w:val="444444"/>
          <w:sz w:val="26"/>
          <w:szCs w:val="26"/>
        </w:rPr>
        <w:t> Unitățile de învățământ care au candidați din promoțiile anterioare care depun cereri de elaborare a proiectului vor acorda asistență și îndrumare acestor candidați pentru pregătirea examenului.</w:t>
      </w:r>
    </w:p>
    <w:p w:rsidR="00446202" w:rsidRDefault="00446202" w:rsidP="00446202">
      <w:pPr>
        <w:pStyle w:val="al"/>
        <w:shd w:val="clear" w:color="auto" w:fill="FFFFFF"/>
        <w:spacing w:before="0" w:beforeAutospacing="0" w:after="150" w:afterAutospacing="0"/>
        <w:rPr>
          <w:rFonts w:ascii="Calibri" w:hAnsi="Calibri"/>
          <w:color w:val="333333"/>
          <w:sz w:val="26"/>
          <w:szCs w:val="26"/>
        </w:rPr>
      </w:pPr>
      <w:r>
        <w:rPr>
          <w:rFonts w:ascii="Calibri" w:hAnsi="Calibri"/>
          <w:b/>
          <w:bCs/>
          <w:color w:val="222222"/>
          <w:sz w:val="26"/>
          <w:szCs w:val="26"/>
        </w:rPr>
        <w:t>(3)</w:t>
      </w:r>
      <w:r>
        <w:rPr>
          <w:rFonts w:ascii="Calibri" w:hAnsi="Calibri"/>
          <w:color w:val="444444"/>
          <w:sz w:val="26"/>
          <w:szCs w:val="26"/>
        </w:rPr>
        <w:t> Candidații proveniți din serii anterioare, care îndeplinesc condițiile menționate la alin. (1), depun documentele de înscriere pentru examenul de certificare, însoțite de copia de pe foaia matricolă, la unitatea de învățământ pe care au absolvit-o, cu cel puțin 3 zile înainte de perioada prevăzută pentru înscriere din graficul examenului de certificare. Aceștia vor fi incluși în lista menționată la </w:t>
      </w:r>
      <w:hyperlink r:id="rId7" w:anchor="p-68410057" w:tgtFrame="_blank" w:history="1">
        <w:r>
          <w:rPr>
            <w:rStyle w:val="Hyperlink"/>
            <w:rFonts w:ascii="Calibri" w:hAnsi="Calibri"/>
            <w:color w:val="1A86B6"/>
            <w:sz w:val="26"/>
            <w:szCs w:val="26"/>
          </w:rPr>
          <w:t>art. 15</w:t>
        </w:r>
      </w:hyperlink>
      <w:r>
        <w:rPr>
          <w:rFonts w:ascii="Calibri" w:hAnsi="Calibri"/>
          <w:color w:val="444444"/>
          <w:sz w:val="26"/>
          <w:szCs w:val="26"/>
        </w:rPr>
        <w:t>, pe care unitatea de învățământ o depune la centrul de examen la care este arondată. Candidații care au susținut anterior și nu au promovat examenul de certificare de cel puțin două ori depun, odată cu documentele de înscriere, și chitanța de plată a taxei de examen, eliberată de unitatea de învățământ la care candidatul va susține proba orală de examen.</w:t>
      </w:r>
    </w:p>
    <w:p w:rsidR="00446202" w:rsidRDefault="00446202" w:rsidP="00446202">
      <w:pPr>
        <w:pStyle w:val="al"/>
        <w:shd w:val="clear" w:color="auto" w:fill="FFFFFF"/>
        <w:spacing w:before="0" w:beforeAutospacing="0" w:after="150" w:afterAutospacing="0"/>
        <w:rPr>
          <w:rFonts w:ascii="Calibri" w:hAnsi="Calibri"/>
          <w:color w:val="333333"/>
          <w:sz w:val="26"/>
          <w:szCs w:val="26"/>
        </w:rPr>
      </w:pPr>
      <w:r>
        <w:rPr>
          <w:rFonts w:ascii="Calibri" w:hAnsi="Calibri"/>
          <w:b/>
          <w:bCs/>
          <w:color w:val="222222"/>
          <w:sz w:val="26"/>
          <w:szCs w:val="26"/>
        </w:rPr>
        <w:t>(4)</w:t>
      </w:r>
      <w:r>
        <w:rPr>
          <w:rFonts w:ascii="Calibri" w:hAnsi="Calibri"/>
          <w:color w:val="444444"/>
          <w:sz w:val="26"/>
          <w:szCs w:val="26"/>
        </w:rPr>
        <w:t> În situația în care unitatea de învățământ absolvită nu are candidați în domeniul de pregătire/profilul candidatului provenind din serii anterioare, acesta solicită, în scris, CJEC/CMBEC aprobarea pentru elaborarea proiectului, respectiv pentru înscrierea la examen, anexând cererii copia de pe foaia matricolă.</w:t>
      </w:r>
    </w:p>
    <w:p w:rsidR="00446202" w:rsidRDefault="00446202" w:rsidP="00446202">
      <w:pPr>
        <w:pStyle w:val="al"/>
        <w:shd w:val="clear" w:color="auto" w:fill="FFFFFF"/>
        <w:spacing w:before="0" w:beforeAutospacing="0" w:after="150" w:afterAutospacing="0"/>
        <w:rPr>
          <w:rFonts w:ascii="Calibri" w:hAnsi="Calibri"/>
          <w:color w:val="333333"/>
          <w:sz w:val="26"/>
          <w:szCs w:val="26"/>
        </w:rPr>
      </w:pPr>
      <w:r>
        <w:rPr>
          <w:rFonts w:ascii="Calibri" w:hAnsi="Calibri"/>
          <w:b/>
          <w:bCs/>
          <w:color w:val="222222"/>
          <w:sz w:val="26"/>
          <w:szCs w:val="26"/>
        </w:rPr>
        <w:t>(5)</w:t>
      </w:r>
      <w:r>
        <w:rPr>
          <w:rFonts w:ascii="Calibri" w:hAnsi="Calibri"/>
          <w:color w:val="444444"/>
          <w:sz w:val="26"/>
          <w:szCs w:val="26"/>
        </w:rPr>
        <w:t> Candidații aflați în situația menționată la alin. (4) vor elabora proiectul și se vor înscrie pentru examenul de certificare la unitatea de învățământ stabilită de CJEC/CMBEC, în funcție de calificarea profesională, care va aplica în mod corespunzător prevederile alin. (1) și (3).</w:t>
      </w:r>
    </w:p>
    <w:p w:rsidR="00446202" w:rsidRDefault="00446202" w:rsidP="00446202">
      <w:pPr>
        <w:pStyle w:val="Heading4"/>
        <w:shd w:val="clear" w:color="auto" w:fill="FFFFFF"/>
        <w:spacing w:before="225" w:beforeAutospacing="0" w:after="75" w:afterAutospacing="0"/>
        <w:rPr>
          <w:rFonts w:ascii="Calibri" w:hAnsi="Calibri"/>
          <w:color w:val="333333"/>
          <w:sz w:val="26"/>
          <w:szCs w:val="26"/>
        </w:rPr>
      </w:pPr>
      <w:hyperlink r:id="rId8" w:tgtFrame="_blank" w:history="1">
        <w:r>
          <w:rPr>
            <w:rStyle w:val="Hyperlink"/>
            <w:rFonts w:ascii="Calibri" w:hAnsi="Calibri"/>
            <w:color w:val="1A86B6"/>
            <w:sz w:val="26"/>
            <w:szCs w:val="26"/>
          </w:rPr>
          <w:t>Art. 18. -</w:t>
        </w:r>
      </w:hyperlink>
      <w:r>
        <w:rPr>
          <w:rFonts w:ascii="Calibri" w:hAnsi="Calibri"/>
          <w:color w:val="2A76A7"/>
          <w:sz w:val="26"/>
          <w:szCs w:val="26"/>
        </w:rPr>
        <w:t xml:space="preserve"> </w:t>
      </w:r>
      <w:r>
        <w:rPr>
          <w:rFonts w:ascii="Calibri" w:hAnsi="Calibri"/>
          <w:color w:val="444444"/>
          <w:sz w:val="26"/>
          <w:szCs w:val="26"/>
        </w:rPr>
        <w:t>CJEC/CMBEC întocmesc situația centralizată la nivel județean, care cuprinde: domeniile, calificările profesionale pentru care se organizează examen de certificare, pe centre de examen, și transmit CNEC, spre informare, situația finală, cu 15 zile înainte de începerea examenului de certificare.</w:t>
      </w:r>
    </w:p>
    <w:p w:rsidR="005B479E" w:rsidRDefault="00446202"/>
    <w:sectPr w:rsidR="005B47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202"/>
    <w:rsid w:val="000B39E1"/>
    <w:rsid w:val="00446202"/>
    <w:rsid w:val="00AE55B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46202"/>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
    <w:name w:val="a_l"/>
    <w:basedOn w:val="Normal"/>
    <w:rsid w:val="00446202"/>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Heading4Char">
    <w:name w:val="Heading 4 Char"/>
    <w:basedOn w:val="DefaultParagraphFont"/>
    <w:link w:val="Heading4"/>
    <w:uiPriority w:val="9"/>
    <w:rsid w:val="00446202"/>
    <w:rPr>
      <w:rFonts w:ascii="Times New Roman" w:eastAsia="Times New Roman" w:hAnsi="Times New Roman" w:cs="Times New Roman"/>
      <w:b/>
      <w:bCs/>
      <w:sz w:val="24"/>
      <w:szCs w:val="24"/>
      <w:lang w:eastAsia="ro-RO"/>
    </w:rPr>
  </w:style>
  <w:style w:type="character" w:styleId="Hyperlink">
    <w:name w:val="Hyperlink"/>
    <w:basedOn w:val="DefaultParagraphFont"/>
    <w:uiPriority w:val="99"/>
    <w:semiHidden/>
    <w:unhideWhenUsed/>
    <w:rsid w:val="004462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46202"/>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
    <w:name w:val="a_l"/>
    <w:basedOn w:val="Normal"/>
    <w:rsid w:val="00446202"/>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Heading4Char">
    <w:name w:val="Heading 4 Char"/>
    <w:basedOn w:val="DefaultParagraphFont"/>
    <w:link w:val="Heading4"/>
    <w:uiPriority w:val="9"/>
    <w:rsid w:val="00446202"/>
    <w:rPr>
      <w:rFonts w:ascii="Times New Roman" w:eastAsia="Times New Roman" w:hAnsi="Times New Roman" w:cs="Times New Roman"/>
      <w:b/>
      <w:bCs/>
      <w:sz w:val="24"/>
      <w:szCs w:val="24"/>
      <w:lang w:eastAsia="ro-RO"/>
    </w:rPr>
  </w:style>
  <w:style w:type="character" w:styleId="Hyperlink">
    <w:name w:val="Hyperlink"/>
    <w:basedOn w:val="DefaultParagraphFont"/>
    <w:uiPriority w:val="99"/>
    <w:semiHidden/>
    <w:unhideWhenUsed/>
    <w:rsid w:val="004462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6400">
      <w:bodyDiv w:val="1"/>
      <w:marLeft w:val="0"/>
      <w:marRight w:val="0"/>
      <w:marTop w:val="0"/>
      <w:marBottom w:val="0"/>
      <w:divBdr>
        <w:top w:val="none" w:sz="0" w:space="0" w:color="auto"/>
        <w:left w:val="none" w:sz="0" w:space="0" w:color="auto"/>
        <w:bottom w:val="none" w:sz="0" w:space="0" w:color="auto"/>
        <w:right w:val="none" w:sz="0" w:space="0" w:color="auto"/>
      </w:divBdr>
    </w:div>
    <w:div w:id="1089153632">
      <w:bodyDiv w:val="1"/>
      <w:marLeft w:val="0"/>
      <w:marRight w:val="0"/>
      <w:marTop w:val="0"/>
      <w:marBottom w:val="0"/>
      <w:divBdr>
        <w:top w:val="none" w:sz="0" w:space="0" w:color="auto"/>
        <w:left w:val="none" w:sz="0" w:space="0" w:color="auto"/>
        <w:bottom w:val="none" w:sz="0" w:space="0" w:color="auto"/>
        <w:right w:val="none" w:sz="0" w:space="0" w:color="auto"/>
      </w:divBdr>
    </w:div>
    <w:div w:id="145201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qydinbsgm/art-18-capitolul-iii-inscrierea-candidatilor-metodologie?dp=gy4dimjqga4dc" TargetMode="External"/><Relationship Id="rId3" Type="http://schemas.openxmlformats.org/officeDocument/2006/relationships/settings" Target="settings.xml"/><Relationship Id="rId7" Type="http://schemas.openxmlformats.org/officeDocument/2006/relationships/hyperlink" Target="https://lege5.ro/Gratuit/gqydinbsgm/metodologia-de-organizare-si-desfasurare-a-examenului-de-certificare-a-calificarii-absolventilor-invatamantului-liceal-filiera-tehnologica-din-29082014?pid=68410057&amp;d=2018-10-1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ege5.ro/Gratuit/gqydinbsgm/art-16-capitolul-iii-inscrierea-candidatilor-metodologie?dp=gy4dimjqga3tg" TargetMode="External"/><Relationship Id="rId5" Type="http://schemas.openxmlformats.org/officeDocument/2006/relationships/hyperlink" Target="https://lege5.ro/Gratuit/gqydinbsgm/metodologia-de-organizare-si-desfasurare-a-examenului-de-certificare-a-calificarii-absolventilor-invatamantului-liceal-filiera-tehnologica-din-29082014?pid=68410192&amp;d=2018-10-1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976</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1</cp:revision>
  <dcterms:created xsi:type="dcterms:W3CDTF">2018-10-13T14:31:00Z</dcterms:created>
  <dcterms:modified xsi:type="dcterms:W3CDTF">2018-10-13T14:34:00Z</dcterms:modified>
</cp:coreProperties>
</file>